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text" w:horzAnchor="page" w:tblpX="1282" w:tblpYSpec="top"/>
        <w:tblOverlap w:val="never"/>
        <w:tblW w:w="0" w:type="auto"/>
        <w:tblInd w:w="0" w:type="dxa"/>
        <w:tblBorders>
          <w:top w:val="none" w:color="auto" w:sz="0" w:space="0"/>
          <w:left w:val="none" w:color="auto" w:sz="0" w:space="0"/>
          <w:bottom w:val="none" w:color="auto" w:sz="0"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40"/>
      </w:tblGrid>
      <w:tr w14:paraId="3ED76577">
        <w:tblPrEx>
          <w:tblBorders>
            <w:top w:val="none" w:color="auto" w:sz="0" w:space="0"/>
            <w:left w:val="none" w:color="auto" w:sz="0" w:space="0"/>
            <w:bottom w:val="none" w:color="auto" w:sz="0"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14" w:hRule="atLeast"/>
        </w:trPr>
        <w:tc>
          <w:tcPr>
            <w:tcW w:w="1440" w:type="dxa"/>
            <w:tcBorders>
              <w:right w:val="double" w:color="auto" w:sz="12" w:space="0"/>
            </w:tcBorders>
            <w:noWrap w:val="0"/>
            <w:vAlign w:val="center"/>
          </w:tcPr>
          <w:p w14:paraId="3CA0E837">
            <w:pPr>
              <w:jc w:val="center"/>
              <w:rPr>
                <w:rFonts w:hint="eastAsia" w:eastAsia="黑体"/>
                <w:b/>
                <w:sz w:val="56"/>
              </w:rPr>
            </w:pPr>
            <w:r>
              <w:rPr>
                <w:rFonts w:hint="eastAsia" w:eastAsia="黑体"/>
                <w:b/>
                <w:sz w:val="56"/>
              </w:rPr>
              <w:t>海</w:t>
            </w:r>
          </w:p>
          <w:p w14:paraId="6E35996B">
            <w:pPr>
              <w:jc w:val="center"/>
              <w:rPr>
                <w:rFonts w:hint="eastAsia" w:eastAsia="黑体"/>
                <w:b/>
                <w:sz w:val="56"/>
              </w:rPr>
            </w:pPr>
            <w:r>
              <w:rPr>
                <w:rFonts w:hint="eastAsia" w:eastAsia="黑体"/>
                <w:b/>
                <w:sz w:val="56"/>
              </w:rPr>
              <w:t>门</w:t>
            </w:r>
          </w:p>
          <w:p w14:paraId="7F26D7B6">
            <w:pPr>
              <w:jc w:val="center"/>
              <w:rPr>
                <w:rFonts w:hint="eastAsia" w:eastAsia="黑体"/>
                <w:b/>
                <w:sz w:val="56"/>
                <w:lang w:val="en-US" w:eastAsia="zh-CN"/>
              </w:rPr>
            </w:pPr>
            <w:r>
              <w:rPr>
                <w:rFonts w:hint="eastAsia" w:eastAsia="黑体"/>
                <w:b/>
                <w:sz w:val="56"/>
                <w:lang w:val="en-US" w:eastAsia="zh-CN"/>
              </w:rPr>
              <w:t>区</w:t>
            </w:r>
          </w:p>
          <w:p w14:paraId="16342841">
            <w:pPr>
              <w:jc w:val="center"/>
              <w:rPr>
                <w:rFonts w:hint="eastAsia" w:eastAsia="黑体"/>
                <w:b/>
                <w:sz w:val="56"/>
              </w:rPr>
            </w:pPr>
            <w:r>
              <w:rPr>
                <w:rFonts w:hint="eastAsia" w:eastAsia="黑体"/>
                <w:b/>
                <w:sz w:val="56"/>
              </w:rPr>
              <w:t>人</w:t>
            </w:r>
          </w:p>
          <w:p w14:paraId="01AE705D">
            <w:pPr>
              <w:jc w:val="center"/>
              <w:rPr>
                <w:rFonts w:hint="eastAsia" w:eastAsia="黑体"/>
                <w:b/>
                <w:sz w:val="56"/>
              </w:rPr>
            </w:pPr>
            <w:r>
              <w:rPr>
                <w:rFonts w:hint="eastAsia" w:eastAsia="黑体"/>
                <w:b/>
                <w:sz w:val="56"/>
              </w:rPr>
              <w:t>民</w:t>
            </w:r>
          </w:p>
          <w:p w14:paraId="48B9C1AC">
            <w:pPr>
              <w:jc w:val="center"/>
              <w:rPr>
                <w:rFonts w:hint="eastAsia" w:eastAsia="黑体"/>
                <w:b/>
                <w:sz w:val="56"/>
              </w:rPr>
            </w:pPr>
            <w:r>
              <w:rPr>
                <w:rFonts w:hint="eastAsia" w:eastAsia="黑体"/>
                <w:b/>
                <w:sz w:val="56"/>
              </w:rPr>
              <w:t>政</w:t>
            </w:r>
          </w:p>
          <w:p w14:paraId="5C8AA295">
            <w:pPr>
              <w:jc w:val="center"/>
              <w:rPr>
                <w:rFonts w:hint="eastAsia" w:eastAsia="黑体"/>
                <w:b/>
                <w:sz w:val="56"/>
              </w:rPr>
            </w:pPr>
            <w:r>
              <w:rPr>
                <w:rFonts w:hint="eastAsia" w:eastAsia="黑体"/>
                <w:b/>
                <w:sz w:val="56"/>
              </w:rPr>
              <w:t>府</w:t>
            </w:r>
          </w:p>
          <w:p w14:paraId="74B7AABD">
            <w:pPr>
              <w:jc w:val="center"/>
              <w:rPr>
                <w:rFonts w:hint="eastAsia" w:eastAsia="黑体"/>
                <w:b/>
                <w:sz w:val="56"/>
              </w:rPr>
            </w:pPr>
            <w:r>
              <w:rPr>
                <w:rFonts w:hint="eastAsia" w:eastAsia="黑体"/>
                <w:b/>
                <w:sz w:val="56"/>
              </w:rPr>
              <w:t>公</w:t>
            </w:r>
          </w:p>
          <w:p w14:paraId="70F81123">
            <w:pPr>
              <w:jc w:val="center"/>
              <w:rPr>
                <w:rFonts w:hint="eastAsia" w:eastAsia="黑体"/>
                <w:b/>
                <w:sz w:val="52"/>
              </w:rPr>
            </w:pPr>
            <w:r>
              <w:rPr>
                <w:rFonts w:hint="eastAsia" w:eastAsia="黑体"/>
                <w:b/>
                <w:sz w:val="56"/>
              </w:rPr>
              <w:t>报</w:t>
            </w:r>
          </w:p>
        </w:tc>
      </w:tr>
    </w:tbl>
    <w:p w14:paraId="7617751B">
      <w:pPr>
        <w:pBdr>
          <w:bottom w:val="single" w:color="auto" w:sz="18" w:space="1"/>
        </w:pBdr>
        <w:jc w:val="center"/>
        <w:rPr>
          <w:rFonts w:hint="eastAsia" w:ascii="黑体" w:eastAsia="黑体"/>
          <w:b/>
          <w:sz w:val="32"/>
        </w:rPr>
      </w:pPr>
      <w:r>
        <w:rPr>
          <w:rFonts w:hint="eastAsia" w:ascii="黑体" w:eastAsia="黑体"/>
          <w:b/>
          <w:sz w:val="28"/>
        </w:rPr>
        <w:t>202</w:t>
      </w:r>
      <w:r>
        <w:rPr>
          <w:rFonts w:hint="eastAsia" w:ascii="黑体" w:eastAsia="黑体"/>
          <w:b/>
          <w:sz w:val="28"/>
          <w:lang w:val="en-US" w:eastAsia="zh-CN"/>
        </w:rPr>
        <w:t>5</w:t>
      </w:r>
      <w:r>
        <w:rPr>
          <w:rFonts w:hint="eastAsia" w:ascii="黑体" w:eastAsia="黑体"/>
          <w:b/>
          <w:sz w:val="44"/>
        </w:rPr>
        <w:t>第</w:t>
      </w:r>
      <w:r>
        <w:rPr>
          <w:rFonts w:hint="eastAsia" w:ascii="黑体" w:eastAsia="黑体"/>
          <w:b/>
          <w:sz w:val="44"/>
          <w:lang w:val="en-US" w:eastAsia="zh-CN"/>
        </w:rPr>
        <w:t>2</w:t>
      </w:r>
      <w:r>
        <w:rPr>
          <w:rFonts w:hint="eastAsia" w:ascii="黑体" w:eastAsia="黑体"/>
          <w:b/>
          <w:sz w:val="44"/>
        </w:rPr>
        <w:t>期</w:t>
      </w:r>
      <w:r>
        <w:rPr>
          <w:rFonts w:hint="eastAsia" w:ascii="黑体" w:eastAsia="黑体"/>
          <w:b/>
          <w:sz w:val="28"/>
        </w:rPr>
        <w:t>（总第1</w:t>
      </w:r>
      <w:r>
        <w:rPr>
          <w:rFonts w:hint="eastAsia" w:ascii="黑体" w:eastAsia="黑体"/>
          <w:b/>
          <w:sz w:val="28"/>
          <w:lang w:val="en-US" w:eastAsia="zh-CN"/>
        </w:rPr>
        <w:t>59</w:t>
      </w:r>
      <w:r>
        <w:rPr>
          <w:rFonts w:hint="eastAsia" w:ascii="黑体" w:eastAsia="黑体"/>
          <w:b/>
          <w:sz w:val="28"/>
        </w:rPr>
        <w:t>期）</w:t>
      </w:r>
    </w:p>
    <w:p w14:paraId="48F65525">
      <w:pPr>
        <w:jc w:val="center"/>
        <w:rPr>
          <w:rFonts w:hint="eastAsia" w:eastAsia="华文行楷"/>
          <w:b/>
          <w:sz w:val="32"/>
        </w:rPr>
      </w:pPr>
    </w:p>
    <w:p w14:paraId="3FEA8367">
      <w:pPr>
        <w:jc w:val="center"/>
        <w:rPr>
          <w:rFonts w:hint="eastAsia" w:eastAsia="黑体"/>
          <w:b/>
          <w:sz w:val="72"/>
        </w:rPr>
      </w:pPr>
      <w:r>
        <w:rPr>
          <w:rFonts w:hint="eastAsia" w:eastAsia="黑体"/>
          <w:b/>
          <w:sz w:val="72"/>
        </w:rPr>
        <w:t>目 录</w:t>
      </w:r>
    </w:p>
    <w:p w14:paraId="5789AA1C">
      <w:pPr>
        <w:adjustRightInd w:val="0"/>
        <w:snapToGrid w:val="0"/>
        <w:spacing w:line="240" w:lineRule="exact"/>
        <w:jc w:val="center"/>
        <w:rPr>
          <w:rFonts w:hint="eastAsia" w:ascii="黑体" w:hAnsi="宋体" w:eastAsia="黑体"/>
          <w:b/>
          <w:sz w:val="24"/>
          <w:szCs w:val="24"/>
        </w:rPr>
      </w:pPr>
    </w:p>
    <w:p w14:paraId="7B049E76">
      <w:pPr>
        <w:keepNext w:val="0"/>
        <w:keepLines w:val="0"/>
        <w:pageBreakBefore w:val="0"/>
        <w:widowControl w:val="0"/>
        <w:kinsoku/>
        <w:wordWrap/>
        <w:overflowPunct/>
        <w:topLinePunct w:val="0"/>
        <w:autoSpaceDE/>
        <w:autoSpaceDN/>
        <w:bidi w:val="0"/>
        <w:adjustRightInd/>
        <w:snapToGrid w:val="0"/>
        <w:spacing w:line="360" w:lineRule="exact"/>
        <w:textAlignment w:val="auto"/>
        <w:rPr>
          <w:rFonts w:hint="eastAsia" w:ascii="黑体" w:hAnsi="宋体" w:eastAsia="黑体"/>
          <w:b/>
          <w:sz w:val="24"/>
          <w:szCs w:val="24"/>
        </w:rPr>
      </w:pPr>
      <w:r>
        <w:rPr>
          <w:rFonts w:hint="eastAsia" w:ascii="黑体" w:hAnsi="宋体" w:eastAsia="黑体"/>
          <w:b/>
          <w:sz w:val="24"/>
          <w:szCs w:val="24"/>
        </w:rPr>
        <w:t>文件选登</w:t>
      </w:r>
    </w:p>
    <w:p w14:paraId="29BD1270">
      <w:pPr>
        <w:keepNext w:val="0"/>
        <w:keepLines w:val="0"/>
        <w:pageBreakBefore w:val="0"/>
        <w:widowControl w:val="0"/>
        <w:tabs>
          <w:tab w:val="right" w:leader="dot" w:pos="7980"/>
        </w:tabs>
        <w:kinsoku/>
        <w:wordWrap/>
        <w:overflowPunct/>
        <w:topLinePunct w:val="0"/>
        <w:autoSpaceDE/>
        <w:autoSpaceDN/>
        <w:bidi w:val="0"/>
        <w:adjustRightInd/>
        <w:snapToGrid/>
        <w:spacing w:line="360" w:lineRule="exact"/>
        <w:textAlignment w:val="auto"/>
        <w:rPr>
          <w:rFonts w:hint="default" w:ascii="宋体" w:hAnsi="宋体" w:eastAsia="宋体" w:cs="宋体"/>
          <w:color w:val="auto"/>
          <w:spacing w:val="-11"/>
          <w:sz w:val="24"/>
          <w:szCs w:val="24"/>
          <w:lang w:val="en-US" w:eastAsia="zh-CN"/>
        </w:rPr>
      </w:pPr>
      <w:r>
        <w:rPr>
          <w:rFonts w:hint="eastAsia" w:ascii="宋体" w:hAnsi="宋体" w:eastAsia="宋体" w:cs="宋体"/>
          <w:color w:val="auto"/>
          <w:spacing w:val="-11"/>
          <w:sz w:val="24"/>
          <w:szCs w:val="24"/>
          <w:lang w:val="en-US" w:eastAsia="zh-CN"/>
        </w:rPr>
        <w:t>关于明确区政府部分领导同志工作分工的通知</w:t>
      </w:r>
      <w:r>
        <w:rPr>
          <w:rFonts w:hint="eastAsia" w:ascii="宋体" w:hAnsi="宋体" w:eastAsia="宋体" w:cs="宋体"/>
          <w:color w:val="auto"/>
          <w:spacing w:val="-11"/>
          <w:sz w:val="24"/>
          <w:szCs w:val="24"/>
          <w:lang w:val="en-US" w:eastAsia="zh-CN"/>
        </w:rPr>
        <w:tab/>
      </w:r>
      <w:r>
        <w:rPr>
          <w:rFonts w:hint="eastAsia" w:ascii="宋体" w:hAnsi="宋体" w:eastAsia="宋体" w:cs="宋体"/>
          <w:color w:val="auto"/>
          <w:spacing w:val="-11"/>
          <w:sz w:val="24"/>
          <w:szCs w:val="24"/>
          <w:lang w:val="en-US" w:eastAsia="zh-CN"/>
        </w:rPr>
        <w:t>(1)</w:t>
      </w:r>
    </w:p>
    <w:p w14:paraId="10112881">
      <w:pPr>
        <w:keepNext w:val="0"/>
        <w:keepLines w:val="0"/>
        <w:pageBreakBefore w:val="0"/>
        <w:widowControl w:val="0"/>
        <w:tabs>
          <w:tab w:val="right" w:leader="dot" w:pos="7980"/>
        </w:tabs>
        <w:kinsoku/>
        <w:wordWrap/>
        <w:overflowPunct/>
        <w:topLinePunct w:val="0"/>
        <w:autoSpaceDE/>
        <w:autoSpaceDN/>
        <w:bidi w:val="0"/>
        <w:adjustRightInd/>
        <w:snapToGrid/>
        <w:spacing w:line="360" w:lineRule="exact"/>
        <w:textAlignment w:val="auto"/>
        <w:rPr>
          <w:rFonts w:hint="default" w:ascii="宋体" w:hAnsi="宋体" w:eastAsia="宋体" w:cs="宋体"/>
          <w:color w:val="auto"/>
          <w:spacing w:val="-11"/>
          <w:sz w:val="24"/>
          <w:szCs w:val="24"/>
          <w:lang w:val="en-US" w:eastAsia="zh-CN"/>
        </w:rPr>
      </w:pPr>
      <w:r>
        <w:rPr>
          <w:rFonts w:hint="eastAsia" w:ascii="宋体" w:hAnsi="宋体" w:eastAsia="宋体" w:cs="宋体"/>
          <w:color w:val="auto"/>
          <w:spacing w:val="-11"/>
          <w:sz w:val="24"/>
          <w:szCs w:val="24"/>
          <w:lang w:val="en-US" w:eastAsia="zh-CN"/>
        </w:rPr>
        <w:t>关于印发2025年区政府行政规范性文件制定计划的通知</w:t>
      </w:r>
      <w:r>
        <w:rPr>
          <w:rFonts w:hint="eastAsia" w:ascii="宋体" w:hAnsi="宋体" w:eastAsia="宋体" w:cs="宋体"/>
          <w:color w:val="auto"/>
          <w:spacing w:val="-11"/>
          <w:sz w:val="24"/>
          <w:szCs w:val="24"/>
          <w:lang w:val="en-US" w:eastAsia="zh-CN"/>
        </w:rPr>
        <w:tab/>
      </w:r>
      <w:r>
        <w:rPr>
          <w:rFonts w:hint="eastAsia" w:ascii="宋体" w:hAnsi="宋体" w:eastAsia="宋体" w:cs="宋体"/>
          <w:color w:val="auto"/>
          <w:spacing w:val="-11"/>
          <w:sz w:val="24"/>
          <w:szCs w:val="24"/>
          <w:lang w:val="en-US" w:eastAsia="zh-CN"/>
        </w:rPr>
        <w:t>(2)</w:t>
      </w:r>
    </w:p>
    <w:p w14:paraId="50FF3969">
      <w:pPr>
        <w:keepNext w:val="0"/>
        <w:keepLines w:val="0"/>
        <w:pageBreakBefore w:val="0"/>
        <w:widowControl w:val="0"/>
        <w:tabs>
          <w:tab w:val="right" w:leader="dot" w:pos="7980"/>
        </w:tabs>
        <w:kinsoku/>
        <w:wordWrap/>
        <w:overflowPunct/>
        <w:topLinePunct w:val="0"/>
        <w:autoSpaceDE/>
        <w:autoSpaceDN/>
        <w:bidi w:val="0"/>
        <w:adjustRightInd/>
        <w:snapToGrid/>
        <w:spacing w:line="360" w:lineRule="exact"/>
        <w:textAlignment w:val="auto"/>
        <w:rPr>
          <w:rFonts w:hint="default" w:ascii="宋体" w:hAnsi="宋体" w:eastAsia="宋体" w:cs="宋体"/>
          <w:color w:val="auto"/>
          <w:spacing w:val="-11"/>
          <w:sz w:val="24"/>
          <w:szCs w:val="24"/>
          <w:lang w:val="en-US" w:eastAsia="zh-CN"/>
        </w:rPr>
      </w:pPr>
      <w:r>
        <w:rPr>
          <w:rFonts w:hint="eastAsia" w:ascii="宋体" w:hAnsi="宋体" w:eastAsia="宋体" w:cs="宋体"/>
          <w:color w:val="auto"/>
          <w:spacing w:val="-11"/>
          <w:sz w:val="24"/>
          <w:szCs w:val="24"/>
          <w:lang w:val="en-US" w:eastAsia="zh-CN"/>
        </w:rPr>
        <w:t>关于公布2025年区政府重大行政决策事项目录的通知</w:t>
      </w:r>
      <w:r>
        <w:rPr>
          <w:rFonts w:hint="eastAsia" w:ascii="宋体" w:hAnsi="宋体" w:eastAsia="宋体" w:cs="宋体"/>
          <w:color w:val="auto"/>
          <w:spacing w:val="-11"/>
          <w:sz w:val="24"/>
          <w:szCs w:val="24"/>
          <w:lang w:val="en-US" w:eastAsia="zh-CN"/>
        </w:rPr>
        <w:tab/>
      </w:r>
      <w:r>
        <w:rPr>
          <w:rFonts w:hint="eastAsia" w:ascii="宋体" w:hAnsi="宋体" w:eastAsia="宋体" w:cs="宋体"/>
          <w:color w:val="auto"/>
          <w:spacing w:val="-11"/>
          <w:sz w:val="24"/>
          <w:szCs w:val="24"/>
          <w:lang w:val="en-US" w:eastAsia="zh-CN"/>
        </w:rPr>
        <w:t>(3)</w:t>
      </w:r>
    </w:p>
    <w:p w14:paraId="1E438EB0">
      <w:pPr>
        <w:keepNext w:val="0"/>
        <w:keepLines w:val="0"/>
        <w:pageBreakBefore w:val="0"/>
        <w:widowControl w:val="0"/>
        <w:tabs>
          <w:tab w:val="right" w:leader="dot" w:pos="7980"/>
        </w:tabs>
        <w:kinsoku/>
        <w:wordWrap/>
        <w:overflowPunct/>
        <w:topLinePunct w:val="0"/>
        <w:autoSpaceDE/>
        <w:autoSpaceDN/>
        <w:bidi w:val="0"/>
        <w:adjustRightInd/>
        <w:snapToGrid/>
        <w:spacing w:line="360" w:lineRule="exact"/>
        <w:textAlignment w:val="auto"/>
        <w:rPr>
          <w:rFonts w:hint="default" w:ascii="宋体" w:hAnsi="宋体" w:eastAsia="宋体" w:cs="宋体"/>
          <w:color w:val="auto"/>
          <w:spacing w:val="-11"/>
          <w:sz w:val="24"/>
          <w:szCs w:val="24"/>
          <w:lang w:val="en-US" w:eastAsia="zh-CN"/>
        </w:rPr>
      </w:pPr>
      <w:r>
        <w:rPr>
          <w:rFonts w:hint="eastAsia" w:ascii="宋体" w:hAnsi="宋体" w:eastAsia="宋体" w:cs="宋体"/>
          <w:color w:val="auto"/>
          <w:spacing w:val="-11"/>
          <w:sz w:val="24"/>
          <w:szCs w:val="24"/>
          <w:lang w:val="en-US" w:eastAsia="zh-CN"/>
        </w:rPr>
        <w:t>关于印发2025年度全区行政执法监督工作计划的通知</w:t>
      </w:r>
      <w:r>
        <w:rPr>
          <w:rFonts w:hint="eastAsia" w:ascii="宋体" w:hAnsi="宋体" w:eastAsia="宋体" w:cs="宋体"/>
          <w:color w:val="auto"/>
          <w:spacing w:val="-11"/>
          <w:sz w:val="24"/>
          <w:szCs w:val="24"/>
          <w:lang w:val="en-US" w:eastAsia="zh-CN"/>
        </w:rPr>
        <w:tab/>
      </w:r>
      <w:r>
        <w:rPr>
          <w:rFonts w:hint="eastAsia" w:ascii="宋体" w:hAnsi="宋体" w:eastAsia="宋体" w:cs="宋体"/>
          <w:color w:val="auto"/>
          <w:spacing w:val="-11"/>
          <w:sz w:val="24"/>
          <w:szCs w:val="24"/>
          <w:lang w:val="en-US" w:eastAsia="zh-CN"/>
        </w:rPr>
        <w:t>(4)</w:t>
      </w:r>
    </w:p>
    <w:p w14:paraId="0D08D860">
      <w:pPr>
        <w:keepNext w:val="0"/>
        <w:keepLines w:val="0"/>
        <w:pageBreakBefore w:val="0"/>
        <w:widowControl w:val="0"/>
        <w:tabs>
          <w:tab w:val="right" w:leader="dot" w:pos="7980"/>
        </w:tabs>
        <w:kinsoku/>
        <w:wordWrap/>
        <w:overflowPunct/>
        <w:topLinePunct w:val="0"/>
        <w:autoSpaceDE/>
        <w:autoSpaceDN/>
        <w:bidi w:val="0"/>
        <w:adjustRightInd/>
        <w:snapToGrid/>
        <w:spacing w:line="360" w:lineRule="exact"/>
        <w:textAlignment w:val="auto"/>
        <w:rPr>
          <w:rFonts w:hint="default" w:ascii="宋体" w:hAnsi="宋体" w:eastAsia="宋体" w:cs="宋体"/>
          <w:color w:val="auto"/>
          <w:spacing w:val="-11"/>
          <w:sz w:val="24"/>
          <w:szCs w:val="24"/>
          <w:lang w:val="en-US" w:eastAsia="zh-CN"/>
        </w:rPr>
      </w:pPr>
      <w:r>
        <w:rPr>
          <w:rFonts w:hint="eastAsia" w:ascii="宋体" w:hAnsi="宋体" w:eastAsia="宋体" w:cs="宋体"/>
          <w:color w:val="auto"/>
          <w:spacing w:val="-11"/>
          <w:sz w:val="24"/>
          <w:szCs w:val="24"/>
          <w:lang w:val="en-US" w:eastAsia="zh-CN"/>
        </w:rPr>
        <w:t>关于印发《南通市海门区交通物流降本提质增效三年行动计划（2025—2027年）》的通知</w:t>
      </w:r>
      <w:r>
        <w:rPr>
          <w:rFonts w:hint="eastAsia" w:ascii="宋体" w:hAnsi="宋体" w:eastAsia="宋体" w:cs="宋体"/>
          <w:color w:val="auto"/>
          <w:spacing w:val="-11"/>
          <w:sz w:val="24"/>
          <w:szCs w:val="24"/>
          <w:lang w:val="en-US" w:eastAsia="zh-CN"/>
        </w:rPr>
        <w:tab/>
      </w:r>
      <w:r>
        <w:rPr>
          <w:rFonts w:hint="eastAsia" w:ascii="宋体" w:hAnsi="宋体" w:eastAsia="宋体" w:cs="宋体"/>
          <w:color w:val="auto"/>
          <w:spacing w:val="-11"/>
          <w:sz w:val="24"/>
          <w:szCs w:val="24"/>
          <w:lang w:val="en-US" w:eastAsia="zh-CN"/>
        </w:rPr>
        <w:t>(7)</w:t>
      </w:r>
    </w:p>
    <w:p w14:paraId="3509E8F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宋体" w:eastAsia="黑体"/>
          <w:b/>
          <w:sz w:val="24"/>
          <w:szCs w:val="24"/>
          <w:lang w:val="en-US" w:eastAsia="zh-CN"/>
        </w:rPr>
      </w:pPr>
    </w:p>
    <w:p w14:paraId="0B3809AF">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黑体" w:hAnsi="宋体" w:eastAsia="黑体"/>
          <w:b/>
          <w:sz w:val="24"/>
          <w:szCs w:val="24"/>
          <w:lang w:val="en-US" w:eastAsia="zh-CN"/>
        </w:rPr>
      </w:pPr>
      <w:r>
        <w:rPr>
          <w:rFonts w:hint="eastAsia" w:ascii="黑体" w:hAnsi="宋体" w:eastAsia="黑体"/>
          <w:b/>
          <w:sz w:val="24"/>
          <w:szCs w:val="24"/>
          <w:lang w:val="en-US" w:eastAsia="zh-CN"/>
        </w:rPr>
        <w:t>人事任免</w:t>
      </w:r>
    </w:p>
    <w:p w14:paraId="5E49827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宋体" w:eastAsia="黑体"/>
          <w:b/>
          <w:sz w:val="24"/>
          <w:szCs w:val="24"/>
        </w:rPr>
      </w:pPr>
    </w:p>
    <w:p w14:paraId="66C8B2A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华文新魏" w:hAnsi="宋体" w:eastAsia="华文新魏" w:cs="宋体"/>
          <w:kern w:val="0"/>
          <w:sz w:val="48"/>
          <w:szCs w:val="48"/>
          <w:bdr w:val="wave" w:color="auto" w:sz="6" w:space="0"/>
        </w:rPr>
      </w:pPr>
      <w:r>
        <w:rPr>
          <w:rFonts w:hint="eastAsia" w:ascii="黑体" w:hAnsi="宋体" w:eastAsia="黑体"/>
          <w:b/>
          <w:sz w:val="24"/>
          <w:szCs w:val="24"/>
        </w:rPr>
        <w:t>大事记</w:t>
      </w:r>
    </w:p>
    <w:p w14:paraId="389EC12F">
      <w:pPr>
        <w:ind w:right="25" w:rightChars="12"/>
        <w:rPr>
          <w:rFonts w:hint="eastAsia" w:ascii="华文新魏" w:hAnsi="宋体" w:eastAsia="华文新魏" w:cs="宋体"/>
          <w:kern w:val="0"/>
          <w:sz w:val="48"/>
          <w:szCs w:val="48"/>
          <w:bdr w:val="wave" w:color="auto" w:sz="6" w:space="0"/>
        </w:rPr>
      </w:pPr>
    </w:p>
    <w:p w14:paraId="1C2FEB47">
      <w:pPr>
        <w:ind w:right="25" w:rightChars="12"/>
        <w:rPr>
          <w:rFonts w:hint="eastAsia" w:ascii="华文新魏" w:hAnsi="宋体" w:eastAsia="华文新魏" w:cs="宋体"/>
          <w:kern w:val="0"/>
          <w:sz w:val="48"/>
          <w:szCs w:val="48"/>
          <w:bdr w:val="wave" w:color="auto" w:sz="6" w:space="0"/>
        </w:rPr>
      </w:pPr>
    </w:p>
    <w:p w14:paraId="32A11EF1">
      <w:pPr>
        <w:ind w:right="25" w:rightChars="12"/>
        <w:rPr>
          <w:rFonts w:hint="eastAsia" w:ascii="华文新魏" w:hAnsi="宋体" w:eastAsia="华文新魏" w:cs="宋体"/>
          <w:kern w:val="0"/>
          <w:sz w:val="48"/>
          <w:szCs w:val="48"/>
          <w:bdr w:val="wave" w:color="auto" w:sz="6" w:space="0"/>
        </w:rPr>
      </w:pPr>
    </w:p>
    <w:p w14:paraId="74DF913F">
      <w:pPr>
        <w:ind w:right="25" w:rightChars="12"/>
        <w:rPr>
          <w:rFonts w:hint="eastAsia" w:ascii="华文新魏" w:hAnsi="宋体" w:eastAsia="华文新魏" w:cs="宋体"/>
          <w:kern w:val="0"/>
          <w:sz w:val="48"/>
          <w:szCs w:val="48"/>
          <w:bdr w:val="wave" w:color="auto" w:sz="6" w:space="0"/>
        </w:rPr>
      </w:pPr>
    </w:p>
    <w:p w14:paraId="61CAFE4C">
      <w:pPr>
        <w:ind w:right="25" w:rightChars="12"/>
        <w:rPr>
          <w:rFonts w:hint="eastAsia" w:ascii="华文新魏" w:hAnsi="宋体" w:eastAsia="华文新魏" w:cs="宋体"/>
          <w:kern w:val="0"/>
          <w:sz w:val="48"/>
          <w:szCs w:val="48"/>
          <w:bdr w:val="wave" w:color="auto" w:sz="6" w:space="0"/>
        </w:rPr>
      </w:pPr>
    </w:p>
    <w:p w14:paraId="0815385E">
      <w:pPr>
        <w:ind w:right="25" w:rightChars="12"/>
        <w:rPr>
          <w:rFonts w:hint="eastAsia" w:ascii="华文新魏" w:hAnsi="宋体" w:eastAsia="华文新魏" w:cs="宋体"/>
          <w:kern w:val="0"/>
          <w:sz w:val="48"/>
          <w:szCs w:val="48"/>
          <w:bdr w:val="wave" w:color="auto" w:sz="6" w:space="0"/>
        </w:rPr>
      </w:pPr>
    </w:p>
    <w:p w14:paraId="3DAD5086">
      <w:pPr>
        <w:ind w:right="25" w:rightChars="12"/>
        <w:rPr>
          <w:rFonts w:hint="eastAsia" w:ascii="华文新魏" w:hAnsi="宋体" w:eastAsia="华文新魏" w:cs="宋体"/>
          <w:kern w:val="0"/>
          <w:sz w:val="48"/>
          <w:szCs w:val="48"/>
          <w:bdr w:val="wave" w:color="auto" w:sz="6" w:space="0"/>
        </w:rPr>
      </w:pPr>
    </w:p>
    <w:p w14:paraId="3571EA72">
      <w:pPr>
        <w:keepNext w:val="0"/>
        <w:keepLines w:val="0"/>
        <w:pageBreakBefore w:val="0"/>
        <w:widowControl w:val="0"/>
        <w:kinsoku/>
        <w:wordWrap/>
        <w:overflowPunct/>
        <w:topLinePunct w:val="0"/>
        <w:autoSpaceDE/>
        <w:autoSpaceDN/>
        <w:bidi w:val="0"/>
        <w:snapToGrid/>
        <w:spacing w:line="240" w:lineRule="auto"/>
        <w:ind w:left="0" w:leftChars="0" w:firstLine="0" w:firstLineChars="0"/>
        <w:textAlignment w:val="auto"/>
        <w:rPr>
          <w:rFonts w:hint="eastAsia" w:ascii="华文新魏" w:hAnsi="宋体" w:eastAsia="华文新魏" w:cs="宋体"/>
          <w:kern w:val="0"/>
          <w:sz w:val="48"/>
          <w:szCs w:val="48"/>
          <w:bdr w:val="wave" w:color="auto" w:sz="6" w:space="0"/>
        </w:rPr>
        <w:sectPr>
          <w:pgSz w:w="11906" w:h="16838"/>
          <w:pgMar w:top="1814" w:right="1531" w:bottom="1984" w:left="1531" w:header="851" w:footer="992" w:gutter="0"/>
          <w:cols w:space="425" w:num="1"/>
          <w:docGrid w:type="lines" w:linePitch="312" w:charSpace="0"/>
        </w:sectPr>
      </w:pPr>
    </w:p>
    <w:p w14:paraId="3DA9946D">
      <w:pPr>
        <w:keepNext w:val="0"/>
        <w:keepLines w:val="0"/>
        <w:pageBreakBefore w:val="0"/>
        <w:widowControl w:val="0"/>
        <w:kinsoku/>
        <w:wordWrap/>
        <w:overflowPunct/>
        <w:topLinePunct w:val="0"/>
        <w:autoSpaceDE/>
        <w:autoSpaceDN/>
        <w:bidi w:val="0"/>
        <w:snapToGrid/>
        <w:spacing w:line="240" w:lineRule="auto"/>
        <w:ind w:left="0" w:leftChars="0" w:firstLine="0" w:firstLineChars="0"/>
        <w:textAlignment w:val="auto"/>
        <w:rPr>
          <w:rFonts w:hint="eastAsia" w:ascii="华文新魏" w:hAnsi="宋体" w:eastAsia="华文新魏" w:cs="宋体"/>
          <w:kern w:val="0"/>
          <w:sz w:val="48"/>
          <w:szCs w:val="48"/>
          <w:bdr w:val="wave" w:color="auto" w:sz="6" w:space="0"/>
        </w:rPr>
      </w:pPr>
      <w:r>
        <w:rPr>
          <w:rFonts w:hint="eastAsia" w:ascii="华文新魏" w:hAnsi="宋体" w:eastAsia="华文新魏" w:cs="宋体"/>
          <w:kern w:val="0"/>
          <w:sz w:val="48"/>
          <w:szCs w:val="48"/>
          <w:bdr w:val="wave" w:color="auto" w:sz="6" w:space="0"/>
        </w:rPr>
        <w:t>文件选登</w:t>
      </w:r>
    </w:p>
    <w:p w14:paraId="03215704">
      <w:pPr>
        <w:keepNext w:val="0"/>
        <w:keepLines w:val="0"/>
        <w:pageBreakBefore w:val="0"/>
        <w:kinsoku/>
        <w:topLinePunct w:val="0"/>
        <w:bidi w:val="0"/>
        <w:spacing w:line="440" w:lineRule="exact"/>
        <w:ind w:firstLine="210" w:firstLineChars="100"/>
        <w:rPr>
          <w:rFonts w:hint="eastAsia" w:ascii="仿宋_GB2312" w:hAnsi="仿宋_GB2312" w:eastAsia="仿宋_GB2312" w:cs="仿宋_GB2312"/>
          <w:sz w:val="24"/>
          <w:szCs w:val="24"/>
        </w:rPr>
      </w:pPr>
      <w:r>
        <w:rPr>
          <w:rFonts w:hint="eastAsia" w:ascii="黑体" w:hAnsi="黑体" w:eastAsia="黑体" w:cs="宋体"/>
        </w:rPr>
        <w:t>以正式发文为准</w:t>
      </w:r>
    </w:p>
    <w:p w14:paraId="18ED0936">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32"/>
          <w:szCs w:val="32"/>
        </w:rPr>
      </w:pPr>
    </w:p>
    <w:p w14:paraId="3F0E6334">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32"/>
          <w:szCs w:val="32"/>
        </w:rPr>
      </w:pPr>
    </w:p>
    <w:p w14:paraId="6D449BF7">
      <w:pPr>
        <w:keepNext w:val="0"/>
        <w:keepLines w:val="0"/>
        <w:pageBreakBefore w:val="0"/>
        <w:widowControl w:val="0"/>
        <w:kinsoku/>
        <w:bidi w:val="0"/>
        <w:spacing w:line="400" w:lineRule="exact"/>
        <w:ind w:right="0" w:rightChars="0"/>
        <w:jc w:val="center"/>
        <w:textAlignment w:val="auto"/>
        <w:rPr>
          <w:rFonts w:hint="eastAsia" w:ascii="仿宋_GB2312" w:hAnsi="仿宋_GB2312" w:eastAsia="仿宋_GB2312" w:cs="仿宋_GB2312"/>
          <w:color w:val="000000"/>
          <w:sz w:val="24"/>
          <w:szCs w:val="24"/>
        </w:rPr>
      </w:pPr>
      <w:r>
        <w:rPr>
          <w:rFonts w:hint="eastAsia" w:ascii="方正小标宋_GBK" w:hAnsi="方正小标宋_GBK" w:eastAsia="方正小标宋_GBK" w:cs="方正小标宋_GBK"/>
          <w:color w:val="000000"/>
          <w:sz w:val="32"/>
          <w:szCs w:val="32"/>
        </w:rPr>
        <w:t>关于明确区政府部分领导同志工作分工的通知</w:t>
      </w:r>
    </w:p>
    <w:p w14:paraId="2D7BC164">
      <w:pPr>
        <w:keepNext w:val="0"/>
        <w:keepLines w:val="0"/>
        <w:pageBreakBefore w:val="0"/>
        <w:widowControl w:val="0"/>
        <w:kinsoku/>
        <w:bidi w:val="0"/>
        <w:spacing w:line="400" w:lineRule="exact"/>
        <w:ind w:left="0" w:right="0" w:rightChars="0" w:firstLine="480" w:firstLineChars="200"/>
        <w:jc w:val="center"/>
        <w:textAlignment w:val="auto"/>
        <w:rPr>
          <w:rFonts w:hint="eastAsia" w:ascii="仿宋_GB2312" w:hAnsi="仿宋_GB2312" w:eastAsia="仿宋_GB2312" w:cs="仿宋_GB2312"/>
          <w:sz w:val="24"/>
          <w:szCs w:val="24"/>
        </w:rPr>
      </w:pPr>
    </w:p>
    <w:p w14:paraId="02F585FE">
      <w:pPr>
        <w:keepNext w:val="0"/>
        <w:keepLines w:val="0"/>
        <w:pageBreakBefore w:val="0"/>
        <w:widowControl w:val="0"/>
        <w:kinsoku/>
        <w:bidi w:val="0"/>
        <w:spacing w:line="400" w:lineRule="exact"/>
        <w:ind w:right="0" w:rightChars="0"/>
        <w:jc w:val="center"/>
        <w:textAlignment w:val="auto"/>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海政发〔2025〕4号</w:t>
      </w:r>
    </w:p>
    <w:p w14:paraId="41AD3D7A">
      <w:pPr>
        <w:keepNext w:val="0"/>
        <w:keepLines w:val="0"/>
        <w:pageBreakBefore w:val="0"/>
        <w:widowControl w:val="0"/>
        <w:kinsoku/>
        <w:bidi w:val="0"/>
        <w:spacing w:line="400" w:lineRule="exact"/>
        <w:ind w:left="0" w:right="0" w:rightChars="0" w:firstLine="480" w:firstLineChars="200"/>
        <w:jc w:val="center"/>
        <w:textAlignment w:val="auto"/>
        <w:rPr>
          <w:rFonts w:hint="eastAsia" w:ascii="仿宋_GB2312" w:hAnsi="仿宋_GB2312" w:eastAsia="仿宋_GB2312" w:cs="仿宋_GB2312"/>
          <w:sz w:val="24"/>
          <w:szCs w:val="24"/>
        </w:rPr>
      </w:pPr>
    </w:p>
    <w:p w14:paraId="4B41DD1E">
      <w:pPr>
        <w:keepNext w:val="0"/>
        <w:keepLines w:val="0"/>
        <w:pageBreakBefore w:val="0"/>
        <w:widowControl w:val="0"/>
        <w:kinsoku/>
        <w:bidi w:val="0"/>
        <w:adjustRightInd w:val="0"/>
        <w:snapToGrid w:val="0"/>
        <w:spacing w:line="400" w:lineRule="exact"/>
        <w:ind w:right="0" w:rightChars="0"/>
        <w:textAlignment w:val="auto"/>
        <w:rPr>
          <w:rFonts w:hint="eastAsia" w:ascii="仿宋_GB2312" w:hAnsi="仿宋_GB2312" w:eastAsia="仿宋_GB2312" w:cs="仿宋_GB2312"/>
          <w:color w:val="000000" w:themeColor="text1"/>
          <w:spacing w:val="-11"/>
          <w:sz w:val="24"/>
          <w:szCs w:val="24"/>
          <w14:textFill>
            <w14:solidFill>
              <w14:schemeClr w14:val="tx1"/>
            </w14:solidFill>
          </w14:textFill>
        </w:rPr>
      </w:pPr>
      <w:r>
        <w:rPr>
          <w:rFonts w:hint="eastAsia" w:ascii="仿宋_GB2312" w:hAnsi="仿宋_GB2312" w:eastAsia="仿宋_GB2312" w:cs="仿宋_GB2312"/>
          <w:color w:val="000000" w:themeColor="text1"/>
          <w:spacing w:val="-11"/>
          <w:sz w:val="24"/>
          <w:szCs w:val="24"/>
          <w14:textFill>
            <w14:solidFill>
              <w14:schemeClr w14:val="tx1"/>
            </w14:solidFill>
          </w14:textFill>
        </w:rPr>
        <w:t>各区镇（街道）政府（管委会、办事处），区各委办局，区各直属单位，各垂直管理部门（单位）:</w:t>
      </w:r>
    </w:p>
    <w:p w14:paraId="67F1BD73">
      <w:pPr>
        <w:keepNext w:val="0"/>
        <w:keepLines w:val="0"/>
        <w:pageBreakBefore w:val="0"/>
        <w:widowControl w:val="0"/>
        <w:kinsoku/>
        <w:bidi w:val="0"/>
        <w:snapToGrid w:val="0"/>
        <w:spacing w:line="400" w:lineRule="exact"/>
        <w:ind w:left="0" w:right="0" w:rightChars="0" w:firstLine="436" w:firstLineChars="200"/>
        <w:textAlignment w:val="auto"/>
        <w:rPr>
          <w:rFonts w:hint="eastAsia" w:ascii="仿宋_GB2312" w:hAnsi="仿宋_GB2312" w:eastAsia="仿宋_GB2312" w:cs="仿宋_GB2312"/>
          <w:color w:val="000000" w:themeColor="text1"/>
          <w:spacing w:val="-11"/>
          <w:sz w:val="24"/>
          <w:szCs w:val="24"/>
          <w14:textFill>
            <w14:solidFill>
              <w14:schemeClr w14:val="tx1"/>
            </w14:solidFill>
          </w14:textFill>
        </w:rPr>
      </w:pPr>
      <w:r>
        <w:rPr>
          <w:rFonts w:hint="eastAsia" w:ascii="仿宋_GB2312" w:hAnsi="仿宋_GB2312" w:eastAsia="仿宋_GB2312" w:cs="仿宋_GB2312"/>
          <w:color w:val="000000" w:themeColor="text1"/>
          <w:spacing w:val="-11"/>
          <w:sz w:val="24"/>
          <w:szCs w:val="24"/>
          <w14:textFill>
            <w14:solidFill>
              <w14:schemeClr w14:val="tx1"/>
            </w14:solidFill>
          </w14:textFill>
        </w:rPr>
        <w:t>因人事变动和工作需要，经研究，现就区政府部分领导同志工作分工调整情况通知如下：</w:t>
      </w:r>
    </w:p>
    <w:p w14:paraId="29A3D17D">
      <w:pPr>
        <w:keepNext w:val="0"/>
        <w:keepLines w:val="0"/>
        <w:pageBreakBefore w:val="0"/>
        <w:widowControl w:val="0"/>
        <w:kinsoku/>
        <w:bidi w:val="0"/>
        <w:adjustRightInd w:val="0"/>
        <w:snapToGrid w:val="0"/>
        <w:spacing w:line="400" w:lineRule="exact"/>
        <w:ind w:left="0" w:right="0" w:rightChars="0" w:firstLine="436" w:firstLineChars="200"/>
        <w:textAlignment w:val="auto"/>
        <w:rPr>
          <w:rFonts w:hint="eastAsia" w:ascii="仿宋_GB2312" w:hAnsi="仿宋_GB2312" w:eastAsia="仿宋_GB2312" w:cs="仿宋_GB2312"/>
          <w:color w:val="000000" w:themeColor="text1"/>
          <w:spacing w:val="-11"/>
          <w:sz w:val="24"/>
          <w:szCs w:val="24"/>
          <w14:textFill>
            <w14:solidFill>
              <w14:schemeClr w14:val="tx1"/>
            </w14:solidFill>
          </w14:textFill>
        </w:rPr>
      </w:pPr>
      <w:r>
        <w:rPr>
          <w:rFonts w:hint="eastAsia" w:ascii="仿宋_GB2312" w:hAnsi="仿宋_GB2312" w:eastAsia="仿宋_GB2312" w:cs="仿宋_GB2312"/>
          <w:color w:val="000000" w:themeColor="text1"/>
          <w:spacing w:val="-11"/>
          <w:sz w:val="24"/>
          <w:szCs w:val="24"/>
          <w14:textFill>
            <w14:solidFill>
              <w14:schemeClr w14:val="tx1"/>
            </w14:solidFill>
          </w14:textFill>
        </w:rPr>
        <w:t>多杰东智（挂职）：协助负责教育、体育、民政等工作。</w:t>
      </w:r>
    </w:p>
    <w:p w14:paraId="0662911A">
      <w:pPr>
        <w:keepNext w:val="0"/>
        <w:keepLines w:val="0"/>
        <w:pageBreakBefore w:val="0"/>
        <w:widowControl w:val="0"/>
        <w:kinsoku/>
        <w:bidi w:val="0"/>
        <w:adjustRightInd w:val="0"/>
        <w:snapToGrid w:val="0"/>
        <w:spacing w:line="400" w:lineRule="exact"/>
        <w:ind w:left="0" w:right="0" w:rightChars="0" w:firstLine="436" w:firstLineChars="200"/>
        <w:textAlignment w:val="auto"/>
        <w:rPr>
          <w:rFonts w:hint="eastAsia" w:ascii="仿宋_GB2312" w:hAnsi="仿宋_GB2312" w:eastAsia="仿宋_GB2312" w:cs="仿宋_GB2312"/>
          <w:color w:val="000000" w:themeColor="text1"/>
          <w:spacing w:val="-11"/>
          <w:sz w:val="24"/>
          <w:szCs w:val="24"/>
          <w14:textFill>
            <w14:solidFill>
              <w14:schemeClr w14:val="tx1"/>
            </w14:solidFill>
          </w14:textFill>
        </w:rPr>
      </w:pPr>
      <w:r>
        <w:rPr>
          <w:rFonts w:hint="eastAsia" w:ascii="仿宋_GB2312" w:hAnsi="仿宋_GB2312" w:eastAsia="仿宋_GB2312" w:cs="仿宋_GB2312"/>
          <w:color w:val="000000" w:themeColor="text1"/>
          <w:spacing w:val="-11"/>
          <w:sz w:val="24"/>
          <w:szCs w:val="24"/>
          <w14:textFill>
            <w14:solidFill>
              <w14:schemeClr w14:val="tx1"/>
            </w14:solidFill>
          </w14:textFill>
        </w:rPr>
        <w:t>协助分管区教育体育局（教育督导室）、民政局。协助联系四甲镇。</w:t>
      </w:r>
    </w:p>
    <w:p w14:paraId="631DD3A7">
      <w:pPr>
        <w:keepNext w:val="0"/>
        <w:keepLines w:val="0"/>
        <w:pageBreakBefore w:val="0"/>
        <w:widowControl w:val="0"/>
        <w:kinsoku/>
        <w:bidi w:val="0"/>
        <w:adjustRightInd w:val="0"/>
        <w:snapToGrid w:val="0"/>
        <w:spacing w:line="400" w:lineRule="exact"/>
        <w:ind w:left="0" w:right="0" w:rightChars="0" w:firstLine="436" w:firstLineChars="200"/>
        <w:textAlignment w:val="auto"/>
        <w:rPr>
          <w:rFonts w:hint="eastAsia" w:ascii="仿宋_GB2312" w:hAnsi="仿宋_GB2312" w:eastAsia="仿宋_GB2312" w:cs="仿宋_GB2312"/>
          <w:color w:val="000000" w:themeColor="text1"/>
          <w:spacing w:val="-11"/>
          <w:sz w:val="24"/>
          <w:szCs w:val="24"/>
          <w14:textFill>
            <w14:solidFill>
              <w14:schemeClr w14:val="tx1"/>
            </w14:solidFill>
          </w14:textFill>
        </w:rPr>
      </w:pPr>
      <w:r>
        <w:rPr>
          <w:rFonts w:hint="eastAsia" w:ascii="仿宋_GB2312" w:hAnsi="仿宋_GB2312" w:eastAsia="仿宋_GB2312" w:cs="仿宋_GB2312"/>
          <w:color w:val="000000" w:themeColor="text1"/>
          <w:spacing w:val="-11"/>
          <w:sz w:val="24"/>
          <w:szCs w:val="24"/>
          <w14:textFill>
            <w14:solidFill>
              <w14:schemeClr w14:val="tx1"/>
            </w14:solidFill>
          </w14:textFill>
        </w:rPr>
        <w:t>其他分工不变。</w:t>
      </w:r>
    </w:p>
    <w:p w14:paraId="27839601">
      <w:pPr>
        <w:keepNext w:val="0"/>
        <w:keepLines w:val="0"/>
        <w:pageBreakBefore w:val="0"/>
        <w:widowControl w:val="0"/>
        <w:kinsoku/>
        <w:bidi w:val="0"/>
        <w:spacing w:line="400" w:lineRule="exact"/>
        <w:ind w:left="0" w:right="0" w:rightChars="0" w:firstLine="436" w:firstLineChars="200"/>
        <w:textAlignment w:val="auto"/>
        <w:rPr>
          <w:rFonts w:hint="eastAsia" w:ascii="仿宋_GB2312" w:hAnsi="仿宋_GB2312" w:eastAsia="仿宋_GB2312" w:cs="仿宋_GB2312"/>
          <w:color w:val="000000" w:themeColor="text1"/>
          <w:spacing w:val="-11"/>
          <w:sz w:val="24"/>
          <w:szCs w:val="24"/>
          <w14:textFill>
            <w14:solidFill>
              <w14:schemeClr w14:val="tx1"/>
            </w14:solidFill>
          </w14:textFill>
        </w:rPr>
      </w:pPr>
    </w:p>
    <w:p w14:paraId="0980932E">
      <w:pPr>
        <w:keepNext w:val="0"/>
        <w:keepLines w:val="0"/>
        <w:pageBreakBefore w:val="0"/>
        <w:widowControl w:val="0"/>
        <w:kinsoku/>
        <w:bidi w:val="0"/>
        <w:spacing w:line="400" w:lineRule="exact"/>
        <w:ind w:left="0" w:right="0" w:rightChars="0" w:firstLine="436" w:firstLineChars="200"/>
        <w:textAlignment w:val="auto"/>
        <w:rPr>
          <w:rFonts w:hint="eastAsia" w:ascii="仿宋_GB2312" w:hAnsi="仿宋_GB2312" w:eastAsia="仿宋_GB2312" w:cs="仿宋_GB2312"/>
          <w:color w:val="000000" w:themeColor="text1"/>
          <w:spacing w:val="-11"/>
          <w:sz w:val="24"/>
          <w:szCs w:val="24"/>
          <w14:textFill>
            <w14:solidFill>
              <w14:schemeClr w14:val="tx1"/>
            </w14:solidFill>
          </w14:textFill>
        </w:rPr>
      </w:pPr>
      <w:bookmarkStart w:id="9" w:name="_GoBack"/>
      <w:bookmarkEnd w:id="9"/>
    </w:p>
    <w:p w14:paraId="07B79DDD">
      <w:pPr>
        <w:keepNext w:val="0"/>
        <w:keepLines w:val="0"/>
        <w:pageBreakBefore w:val="0"/>
        <w:widowControl w:val="0"/>
        <w:kinsoku/>
        <w:bidi w:val="0"/>
        <w:spacing w:line="400" w:lineRule="exact"/>
        <w:ind w:left="0" w:right="0" w:rightChars="0" w:firstLine="436" w:firstLineChars="200"/>
        <w:jc w:val="right"/>
        <w:textAlignment w:val="auto"/>
        <w:rPr>
          <w:rFonts w:hint="eastAsia" w:ascii="仿宋_GB2312" w:hAnsi="仿宋_GB2312" w:eastAsia="仿宋_GB2312" w:cs="仿宋_GB2312"/>
          <w:color w:val="000000" w:themeColor="text1"/>
          <w:spacing w:val="-11"/>
          <w:sz w:val="24"/>
          <w:szCs w:val="24"/>
          <w14:textFill>
            <w14:solidFill>
              <w14:schemeClr w14:val="tx1"/>
            </w14:solidFill>
          </w14:textFill>
        </w:rPr>
      </w:pPr>
      <w:r>
        <w:rPr>
          <w:rFonts w:hint="eastAsia" w:ascii="仿宋_GB2312" w:hAnsi="仿宋_GB2312" w:eastAsia="仿宋_GB2312" w:cs="仿宋_GB2312"/>
          <w:color w:val="000000" w:themeColor="text1"/>
          <w:spacing w:val="-11"/>
          <w:sz w:val="24"/>
          <w:szCs w:val="24"/>
          <w14:textFill>
            <w14:solidFill>
              <w14:schemeClr w14:val="tx1"/>
            </w14:solidFill>
          </w14:textFill>
        </w:rPr>
        <w:t>南通市海门区人民政府</w:t>
      </w:r>
    </w:p>
    <w:p w14:paraId="57FC2BD5">
      <w:pPr>
        <w:keepNext w:val="0"/>
        <w:keepLines w:val="0"/>
        <w:pageBreakBefore w:val="0"/>
        <w:widowControl w:val="0"/>
        <w:kinsoku/>
        <w:bidi w:val="0"/>
        <w:adjustRightInd w:val="0"/>
        <w:spacing w:line="400" w:lineRule="exact"/>
        <w:ind w:left="0" w:right="0" w:rightChars="0" w:firstLine="436" w:firstLineChars="200"/>
        <w:jc w:val="right"/>
        <w:textAlignment w:val="auto"/>
        <w:rPr>
          <w:rFonts w:hint="eastAsia" w:ascii="仿宋_GB2312" w:hAnsi="仿宋_GB2312" w:eastAsia="仿宋_GB2312" w:cs="仿宋_GB2312"/>
          <w:color w:val="000000" w:themeColor="text1"/>
          <w:spacing w:val="-11"/>
          <w:sz w:val="24"/>
          <w:szCs w:val="24"/>
          <w14:textFill>
            <w14:solidFill>
              <w14:schemeClr w14:val="tx1"/>
            </w14:solidFill>
          </w14:textFill>
        </w:rPr>
      </w:pPr>
      <w:r>
        <w:rPr>
          <w:rFonts w:hint="eastAsia" w:ascii="仿宋_GB2312" w:hAnsi="仿宋_GB2312" w:eastAsia="仿宋_GB2312" w:cs="仿宋_GB2312"/>
          <w:color w:val="000000" w:themeColor="text1"/>
          <w:spacing w:val="-11"/>
          <w:sz w:val="24"/>
          <w:szCs w:val="24"/>
          <w14:textFill>
            <w14:solidFill>
              <w14:schemeClr w14:val="tx1"/>
            </w14:solidFill>
          </w14:textFill>
        </w:rPr>
        <w:t>2025年4月15日</w:t>
      </w:r>
    </w:p>
    <w:p w14:paraId="111809F0">
      <w:pPr>
        <w:keepNext w:val="0"/>
        <w:keepLines w:val="0"/>
        <w:pageBreakBefore w:val="0"/>
        <w:widowControl w:val="0"/>
        <w:kinsoku/>
        <w:bidi w:val="0"/>
        <w:spacing w:line="400" w:lineRule="exact"/>
        <w:ind w:left="0" w:right="0" w:rightChars="0" w:firstLine="480" w:firstLineChars="200"/>
        <w:textAlignment w:val="auto"/>
        <w:rPr>
          <w:rFonts w:hint="eastAsia" w:ascii="仿宋_GB2312" w:hAnsi="仿宋_GB2312" w:eastAsia="仿宋_GB2312" w:cs="仿宋_GB2312"/>
          <w:sz w:val="24"/>
          <w:szCs w:val="24"/>
        </w:rPr>
      </w:pPr>
    </w:p>
    <w:p w14:paraId="006FA668">
      <w:pPr>
        <w:keepNext w:val="0"/>
        <w:keepLines w:val="0"/>
        <w:pageBreakBefore w:val="0"/>
        <w:widowControl w:val="0"/>
        <w:kinsoku/>
        <w:bidi w:val="0"/>
        <w:spacing w:line="400" w:lineRule="exact"/>
        <w:ind w:left="0" w:right="0" w:rightChars="0" w:firstLine="480" w:firstLineChars="200"/>
        <w:textAlignment w:val="auto"/>
        <w:rPr>
          <w:rFonts w:hint="eastAsia" w:ascii="仿宋_GB2312" w:hAnsi="仿宋_GB2312" w:eastAsia="仿宋_GB2312" w:cs="仿宋_GB2312"/>
          <w:sz w:val="24"/>
          <w:szCs w:val="24"/>
        </w:rPr>
      </w:pPr>
    </w:p>
    <w:p w14:paraId="6C024EFF">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32"/>
          <w:szCs w:val="32"/>
        </w:rPr>
      </w:pPr>
    </w:p>
    <w:p w14:paraId="0881B6BF">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32"/>
          <w:szCs w:val="32"/>
        </w:rPr>
      </w:pPr>
    </w:p>
    <w:p w14:paraId="017DAC25">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32"/>
          <w:szCs w:val="32"/>
        </w:rPr>
      </w:pPr>
    </w:p>
    <w:p w14:paraId="0D18122A">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32"/>
          <w:szCs w:val="32"/>
        </w:rPr>
      </w:pPr>
    </w:p>
    <w:p w14:paraId="076CE70B">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32"/>
          <w:szCs w:val="32"/>
        </w:rPr>
      </w:pPr>
    </w:p>
    <w:p w14:paraId="6340B54C">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32"/>
          <w:szCs w:val="32"/>
        </w:rPr>
      </w:pPr>
    </w:p>
    <w:p w14:paraId="64D445B6">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32"/>
          <w:szCs w:val="32"/>
        </w:rPr>
      </w:pPr>
    </w:p>
    <w:p w14:paraId="094AFA79">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32"/>
          <w:szCs w:val="32"/>
        </w:rPr>
      </w:pPr>
    </w:p>
    <w:p w14:paraId="6090C9DF">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32"/>
          <w:szCs w:val="32"/>
        </w:rPr>
      </w:pPr>
    </w:p>
    <w:p w14:paraId="028A6ACC">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32"/>
          <w:szCs w:val="32"/>
        </w:rPr>
      </w:pPr>
    </w:p>
    <w:p w14:paraId="19C1E9CE">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32"/>
          <w:szCs w:val="32"/>
        </w:rPr>
      </w:pPr>
    </w:p>
    <w:p w14:paraId="106CC373">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32"/>
          <w:szCs w:val="32"/>
        </w:rPr>
      </w:pPr>
      <w:r>
        <w:rPr>
          <w:rFonts w:hint="eastAsia" w:ascii="方正小标宋_GBK" w:hAnsi="方正小标宋_GBK" w:eastAsia="方正小标宋_GBK" w:cs="方正小标宋_GBK"/>
          <w:color w:val="000000"/>
          <w:sz w:val="32"/>
          <w:szCs w:val="32"/>
        </w:rPr>
        <w:t>区政府办公室关于印发202</w:t>
      </w:r>
      <w:r>
        <w:rPr>
          <w:rFonts w:hint="eastAsia" w:ascii="方正小标宋_GBK" w:hAnsi="方正小标宋_GBK" w:eastAsia="方正小标宋_GBK" w:cs="方正小标宋_GBK"/>
          <w:color w:val="000000"/>
          <w:sz w:val="32"/>
          <w:szCs w:val="32"/>
          <w:lang w:val="en-US" w:eastAsia="zh-CN"/>
        </w:rPr>
        <w:t>5</w:t>
      </w:r>
      <w:r>
        <w:rPr>
          <w:rFonts w:hint="eastAsia" w:ascii="方正小标宋_GBK" w:hAnsi="方正小标宋_GBK" w:eastAsia="方正小标宋_GBK" w:cs="方正小标宋_GBK"/>
          <w:color w:val="000000"/>
          <w:sz w:val="32"/>
          <w:szCs w:val="32"/>
        </w:rPr>
        <w:t>年区政府</w:t>
      </w:r>
      <w:r>
        <w:rPr>
          <w:rFonts w:hint="eastAsia" w:ascii="方正小标宋_GBK" w:hAnsi="方正小标宋_GBK" w:eastAsia="方正小标宋_GBK" w:cs="方正小标宋_GBK"/>
          <w:color w:val="000000"/>
          <w:sz w:val="32"/>
          <w:szCs w:val="32"/>
          <w:lang w:val="en-US" w:eastAsia="zh-CN"/>
        </w:rPr>
        <w:t>行政</w:t>
      </w:r>
      <w:r>
        <w:rPr>
          <w:rFonts w:hint="eastAsia" w:ascii="方正小标宋_GBK" w:hAnsi="方正小标宋_GBK" w:eastAsia="方正小标宋_GBK" w:cs="方正小标宋_GBK"/>
          <w:color w:val="000000"/>
          <w:sz w:val="32"/>
          <w:szCs w:val="32"/>
        </w:rPr>
        <w:t>规范性文件制定计划的通知</w:t>
      </w:r>
    </w:p>
    <w:p w14:paraId="678EB52E">
      <w:pPr>
        <w:keepNext w:val="0"/>
        <w:keepLines w:val="0"/>
        <w:pageBreakBefore w:val="0"/>
        <w:widowControl w:val="0"/>
        <w:tabs>
          <w:tab w:val="left" w:pos="8364"/>
        </w:tabs>
        <w:kinsoku/>
        <w:bidi w:val="0"/>
        <w:spacing w:line="400" w:lineRule="exact"/>
        <w:ind w:right="0" w:rightChars="0"/>
        <w:jc w:val="center"/>
        <w:textAlignment w:val="auto"/>
        <w:rPr>
          <w:rFonts w:hint="eastAsia" w:ascii="仿宋_GB2312" w:hAnsi="仿宋_GB2312" w:eastAsia="仿宋_GB2312" w:cs="仿宋_GB2312"/>
          <w:sz w:val="24"/>
          <w:szCs w:val="24"/>
        </w:rPr>
      </w:pPr>
    </w:p>
    <w:p w14:paraId="3BD658D2">
      <w:pPr>
        <w:keepNext w:val="0"/>
        <w:keepLines w:val="0"/>
        <w:pageBreakBefore w:val="0"/>
        <w:widowControl w:val="0"/>
        <w:kinsoku/>
        <w:bidi w:val="0"/>
        <w:spacing w:line="400" w:lineRule="exact"/>
        <w:ind w:right="0" w:rightChars="0"/>
        <w:jc w:val="center"/>
        <w:textAlignment w:val="auto"/>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海政办发〔</w:t>
      </w:r>
      <w:r>
        <w:rPr>
          <w:rFonts w:hint="eastAsia" w:ascii="楷体_GB2312" w:hAnsi="楷体_GB2312" w:eastAsia="楷体_GB2312" w:cs="楷体_GB2312"/>
          <w:sz w:val="24"/>
          <w:szCs w:val="24"/>
          <w:lang w:val="en-US" w:eastAsia="zh-CN"/>
        </w:rPr>
        <w:t>2025</w:t>
      </w:r>
      <w:r>
        <w:rPr>
          <w:rFonts w:hint="eastAsia" w:ascii="楷体_GB2312" w:hAnsi="楷体_GB2312" w:eastAsia="楷体_GB2312" w:cs="楷体_GB2312"/>
          <w:sz w:val="24"/>
          <w:szCs w:val="24"/>
        </w:rPr>
        <w:t>〕</w:t>
      </w:r>
      <w:r>
        <w:rPr>
          <w:rFonts w:hint="eastAsia" w:ascii="楷体_GB2312" w:hAnsi="楷体_GB2312" w:eastAsia="楷体_GB2312" w:cs="楷体_GB2312"/>
          <w:sz w:val="24"/>
          <w:szCs w:val="24"/>
          <w:lang w:val="en-US" w:eastAsia="zh-CN"/>
        </w:rPr>
        <w:t>3</w:t>
      </w:r>
      <w:r>
        <w:rPr>
          <w:rFonts w:hint="eastAsia" w:ascii="楷体_GB2312" w:hAnsi="楷体_GB2312" w:eastAsia="楷体_GB2312" w:cs="楷体_GB2312"/>
          <w:sz w:val="24"/>
          <w:szCs w:val="24"/>
        </w:rPr>
        <w:t>号</w:t>
      </w:r>
    </w:p>
    <w:p w14:paraId="0C8680EB">
      <w:pPr>
        <w:keepNext w:val="0"/>
        <w:keepLines w:val="0"/>
        <w:pageBreakBefore w:val="0"/>
        <w:widowControl w:val="0"/>
        <w:kinsoku/>
        <w:bidi w:val="0"/>
        <w:spacing w:line="400" w:lineRule="exact"/>
        <w:ind w:left="0" w:right="0" w:rightChars="0" w:firstLine="480" w:firstLineChars="200"/>
        <w:textAlignment w:val="auto"/>
        <w:rPr>
          <w:rFonts w:hint="eastAsia" w:ascii="仿宋_GB2312" w:hAnsi="仿宋_GB2312" w:eastAsia="仿宋_GB2312" w:cs="仿宋_GB2312"/>
          <w:sz w:val="24"/>
          <w:szCs w:val="24"/>
        </w:rPr>
      </w:pPr>
    </w:p>
    <w:p w14:paraId="7C69DF51">
      <w:pPr>
        <w:keepNext w:val="0"/>
        <w:keepLines w:val="0"/>
        <w:pageBreakBefore w:val="0"/>
        <w:widowControl w:val="0"/>
        <w:kinsoku/>
        <w:wordWrap/>
        <w:overflowPunct/>
        <w:topLinePunct w:val="0"/>
        <w:autoSpaceDE/>
        <w:autoSpaceDN/>
        <w:bidi w:val="0"/>
        <w:adjustRightInd w:val="0"/>
        <w:snapToGrid w:val="0"/>
        <w:spacing w:line="400" w:lineRule="exact"/>
        <w:ind w:right="0" w:right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各区镇（街道）政府（管委会、办事处），区各委办局，区各直属单位，各垂直管理部门（单位）：</w:t>
      </w:r>
    </w:p>
    <w:p w14:paraId="17FC5533">
      <w:pPr>
        <w:keepNext w:val="0"/>
        <w:keepLines w:val="0"/>
        <w:pageBreakBefore w:val="0"/>
        <w:widowControl w:val="0"/>
        <w:kinsoku/>
        <w:wordWrap/>
        <w:overflowPunct/>
        <w:topLinePunct w:val="0"/>
        <w:autoSpaceDE/>
        <w:autoSpaceDN/>
        <w:bidi w:val="0"/>
        <w:adjustRightInd w:val="0"/>
        <w:snapToGrid w:val="0"/>
        <w:spacing w:line="400" w:lineRule="exact"/>
        <w:ind w:left="0" w:right="0" w:rightChars="0"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《202</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年区政府</w:t>
      </w:r>
      <w:r>
        <w:rPr>
          <w:rFonts w:hint="eastAsia" w:ascii="仿宋_GB2312" w:hAnsi="仿宋_GB2312" w:eastAsia="仿宋_GB2312" w:cs="仿宋_GB2312"/>
          <w:sz w:val="24"/>
          <w:szCs w:val="24"/>
          <w:lang w:val="en-US" w:eastAsia="zh-CN"/>
        </w:rPr>
        <w:t>行政</w:t>
      </w:r>
      <w:r>
        <w:rPr>
          <w:rFonts w:hint="eastAsia" w:ascii="仿宋_GB2312" w:hAnsi="仿宋_GB2312" w:eastAsia="仿宋_GB2312" w:cs="仿宋_GB2312"/>
          <w:sz w:val="24"/>
          <w:szCs w:val="24"/>
        </w:rPr>
        <w:t>规范性文件制定计划》已经区政府同意，现印发给你们。各责任单位要围绕中心工作，在合理规划、充分调研的基础上，加强学习研究和协调论证，遵循规范性文件制定流程要求，切实提高文件起草质量，确保年度规范性文件制定计划顺利实施，为</w:t>
      </w:r>
      <w:r>
        <w:rPr>
          <w:rFonts w:hint="eastAsia" w:ascii="仿宋_GB2312" w:hAnsi="仿宋_GB2312" w:eastAsia="仿宋_GB2312" w:cs="仿宋_GB2312"/>
          <w:sz w:val="24"/>
          <w:szCs w:val="24"/>
          <w:lang w:val="en-US" w:eastAsia="zh-CN"/>
        </w:rPr>
        <w:t>全</w:t>
      </w:r>
      <w:r>
        <w:rPr>
          <w:rFonts w:hint="eastAsia" w:ascii="仿宋_GB2312" w:hAnsi="仿宋_GB2312" w:eastAsia="仿宋_GB2312" w:cs="仿宋_GB2312"/>
          <w:sz w:val="24"/>
          <w:szCs w:val="24"/>
        </w:rPr>
        <w:t>区经济社会高质量发展提供坚实保障。</w:t>
      </w:r>
    </w:p>
    <w:p w14:paraId="5B285625">
      <w:pPr>
        <w:keepNext w:val="0"/>
        <w:keepLines w:val="0"/>
        <w:pageBreakBefore w:val="0"/>
        <w:widowControl w:val="0"/>
        <w:kinsoku/>
        <w:bidi w:val="0"/>
        <w:spacing w:line="400" w:lineRule="exact"/>
        <w:ind w:left="0" w:right="0" w:rightChars="0" w:firstLine="480" w:firstLineChars="200"/>
        <w:textAlignment w:val="auto"/>
        <w:rPr>
          <w:rFonts w:hint="eastAsia" w:ascii="仿宋_GB2312" w:hAnsi="仿宋_GB2312" w:eastAsia="仿宋_GB2312" w:cs="仿宋_GB2312"/>
          <w:sz w:val="24"/>
          <w:szCs w:val="24"/>
        </w:rPr>
      </w:pPr>
    </w:p>
    <w:p w14:paraId="40DF7591">
      <w:pPr>
        <w:keepNext w:val="0"/>
        <w:keepLines w:val="0"/>
        <w:pageBreakBefore w:val="0"/>
        <w:widowControl w:val="0"/>
        <w:kinsoku/>
        <w:wordWrap/>
        <w:overflowPunct/>
        <w:topLinePunct/>
        <w:bidi w:val="0"/>
        <w:spacing w:line="400" w:lineRule="exact"/>
        <w:ind w:right="0" w:rightChars="0" w:firstLine="0" w:firstLineChars="0"/>
        <w:jc w:val="righ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南通市海门区人民政府办公室</w:t>
      </w:r>
    </w:p>
    <w:p w14:paraId="31490600">
      <w:pPr>
        <w:keepNext w:val="0"/>
        <w:keepLines w:val="0"/>
        <w:pageBreakBefore w:val="0"/>
        <w:widowControl w:val="0"/>
        <w:kinsoku/>
        <w:wordWrap/>
        <w:overflowPunct/>
        <w:topLinePunct/>
        <w:bidi w:val="0"/>
        <w:spacing w:line="400" w:lineRule="exact"/>
        <w:ind w:right="0" w:rightChars="0" w:firstLine="0" w:firstLineChars="0"/>
        <w:jc w:val="righ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202</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日</w:t>
      </w:r>
    </w:p>
    <w:p w14:paraId="3FF73ACE">
      <w:pPr>
        <w:keepNext w:val="0"/>
        <w:keepLines w:val="0"/>
        <w:pageBreakBefore w:val="0"/>
        <w:widowControl w:val="0"/>
        <w:kinsoku/>
        <w:wordWrap/>
        <w:overflowPunct/>
        <w:bidi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p>
    <w:p w14:paraId="757F96F6">
      <w:pPr>
        <w:keepNext w:val="0"/>
        <w:keepLines w:val="0"/>
        <w:pageBreakBefore w:val="0"/>
        <w:widowControl w:val="0"/>
        <w:kinsoku/>
        <w:wordWrap/>
        <w:overflowPunct/>
        <w:bidi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p>
    <w:p w14:paraId="05BF4C7E">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32"/>
          <w:szCs w:val="32"/>
          <w:lang w:val="en-US" w:eastAsia="zh-CN"/>
        </w:rPr>
      </w:pPr>
    </w:p>
    <w:p w14:paraId="42861BD7">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28"/>
          <w:szCs w:val="28"/>
          <w:lang w:val="en-US" w:eastAsia="zh-CN"/>
        </w:rPr>
      </w:pPr>
      <w:r>
        <w:rPr>
          <w:rFonts w:hint="eastAsia" w:ascii="方正小标宋_GBK" w:hAnsi="方正小标宋_GBK" w:eastAsia="方正小标宋_GBK" w:cs="方正小标宋_GBK"/>
          <w:color w:val="000000"/>
          <w:sz w:val="28"/>
          <w:szCs w:val="28"/>
          <w:lang w:val="en-US" w:eastAsia="zh-CN"/>
        </w:rPr>
        <w:t>2025年区政府行政规范性文件制定计划</w:t>
      </w:r>
    </w:p>
    <w:p w14:paraId="7C26B3AD">
      <w:pPr>
        <w:keepNext w:val="0"/>
        <w:keepLines w:val="0"/>
        <w:pageBreakBefore w:val="0"/>
        <w:widowControl w:val="0"/>
        <w:kinsoku/>
        <w:wordWrap/>
        <w:overflowPunct/>
        <w:bidi w:val="0"/>
        <w:spacing w:line="400" w:lineRule="exact"/>
        <w:ind w:left="0" w:right="0" w:rightChars="0" w:firstLine="0" w:firstLineChars="0"/>
        <w:textAlignment w:val="auto"/>
        <w:rPr>
          <w:rFonts w:hint="eastAsia" w:ascii="仿宋_GB2312" w:hAnsi="仿宋_GB2312" w:eastAsia="仿宋_GB2312" w:cs="仿宋_GB2312"/>
          <w:sz w:val="24"/>
          <w:szCs w:val="24"/>
        </w:rPr>
      </w:pPr>
    </w:p>
    <w:tbl>
      <w:tblPr>
        <w:tblStyle w:val="5"/>
        <w:tblpPr w:leftFromText="180" w:rightFromText="180" w:vertAnchor="text" w:horzAnchor="page" w:tblpXSpec="center" w:tblpY="16"/>
        <w:tblOverlap w:val="never"/>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3869"/>
        <w:gridCol w:w="1910"/>
        <w:gridCol w:w="1287"/>
        <w:gridCol w:w="1348"/>
      </w:tblGrid>
      <w:tr w14:paraId="238D2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54" w:type="pct"/>
            <w:tcBorders>
              <w:top w:val="single" w:color="auto" w:sz="4" w:space="0"/>
              <w:left w:val="single" w:color="auto" w:sz="4" w:space="0"/>
              <w:bottom w:val="single" w:color="auto" w:sz="4" w:space="0"/>
              <w:right w:val="single" w:color="auto" w:sz="4" w:space="0"/>
            </w:tcBorders>
            <w:noWrap w:val="0"/>
            <w:vAlign w:val="center"/>
          </w:tcPr>
          <w:p w14:paraId="759307CD">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序号</w:t>
            </w:r>
          </w:p>
        </w:tc>
        <w:tc>
          <w:tcPr>
            <w:tcW w:w="2135" w:type="pct"/>
            <w:tcBorders>
              <w:top w:val="single" w:color="auto" w:sz="4" w:space="0"/>
              <w:left w:val="single" w:color="auto" w:sz="4" w:space="0"/>
              <w:bottom w:val="single" w:color="auto" w:sz="4" w:space="0"/>
              <w:right w:val="single" w:color="auto" w:sz="4" w:space="0"/>
            </w:tcBorders>
            <w:noWrap w:val="0"/>
            <w:vAlign w:val="center"/>
          </w:tcPr>
          <w:p w14:paraId="0C357ABA">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文件名称</w:t>
            </w:r>
          </w:p>
        </w:tc>
        <w:tc>
          <w:tcPr>
            <w:tcW w:w="1054" w:type="pct"/>
            <w:tcBorders>
              <w:top w:val="single" w:color="auto" w:sz="4" w:space="0"/>
              <w:left w:val="single" w:color="auto" w:sz="4" w:space="0"/>
              <w:bottom w:val="single" w:color="auto" w:sz="4" w:space="0"/>
              <w:right w:val="single" w:color="auto" w:sz="4" w:space="0"/>
            </w:tcBorders>
            <w:noWrap w:val="0"/>
            <w:vAlign w:val="center"/>
          </w:tcPr>
          <w:p w14:paraId="666484B7">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起草部门</w:t>
            </w:r>
          </w:p>
        </w:tc>
        <w:tc>
          <w:tcPr>
            <w:tcW w:w="710" w:type="pct"/>
            <w:tcBorders>
              <w:top w:val="single" w:color="auto" w:sz="4" w:space="0"/>
              <w:left w:val="single" w:color="auto" w:sz="4" w:space="0"/>
              <w:bottom w:val="single" w:color="auto" w:sz="4" w:space="0"/>
              <w:right w:val="single" w:color="auto" w:sz="4" w:space="0"/>
            </w:tcBorders>
            <w:noWrap w:val="0"/>
            <w:vAlign w:val="center"/>
          </w:tcPr>
          <w:p w14:paraId="111E1A1E">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拟制发时间</w:t>
            </w:r>
          </w:p>
        </w:tc>
        <w:tc>
          <w:tcPr>
            <w:tcW w:w="744" w:type="pct"/>
            <w:tcBorders>
              <w:top w:val="single" w:color="auto" w:sz="4" w:space="0"/>
              <w:left w:val="single" w:color="auto" w:sz="4" w:space="0"/>
              <w:bottom w:val="single" w:color="auto" w:sz="4" w:space="0"/>
              <w:right w:val="single" w:color="auto" w:sz="4" w:space="0"/>
            </w:tcBorders>
            <w:noWrap w:val="0"/>
            <w:vAlign w:val="center"/>
          </w:tcPr>
          <w:p w14:paraId="10F96056">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备注</w:t>
            </w:r>
          </w:p>
        </w:tc>
      </w:tr>
      <w:tr w14:paraId="2A67D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54" w:type="pct"/>
            <w:tcBorders>
              <w:top w:val="single" w:color="auto" w:sz="4" w:space="0"/>
              <w:left w:val="single" w:color="auto" w:sz="4" w:space="0"/>
              <w:bottom w:val="single" w:color="auto" w:sz="4" w:space="0"/>
              <w:right w:val="single" w:color="auto" w:sz="4" w:space="0"/>
            </w:tcBorders>
            <w:noWrap w:val="0"/>
            <w:vAlign w:val="center"/>
          </w:tcPr>
          <w:p w14:paraId="0F1DDA99">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2135" w:type="pct"/>
            <w:tcBorders>
              <w:top w:val="single" w:color="auto" w:sz="4" w:space="0"/>
              <w:left w:val="single" w:color="auto" w:sz="4" w:space="0"/>
              <w:bottom w:val="single" w:color="auto" w:sz="4" w:space="0"/>
              <w:right w:val="single" w:color="auto" w:sz="4" w:space="0"/>
            </w:tcBorders>
            <w:noWrap w:val="0"/>
            <w:vAlign w:val="center"/>
          </w:tcPr>
          <w:p w14:paraId="3520A907">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南通市海门区农村宅基地资格权认定管理办法</w:t>
            </w:r>
          </w:p>
        </w:tc>
        <w:tc>
          <w:tcPr>
            <w:tcW w:w="1054" w:type="pct"/>
            <w:tcBorders>
              <w:left w:val="single" w:color="auto" w:sz="4" w:space="0"/>
              <w:right w:val="single" w:color="auto" w:sz="4" w:space="0"/>
            </w:tcBorders>
            <w:noWrap w:val="0"/>
            <w:vAlign w:val="center"/>
          </w:tcPr>
          <w:p w14:paraId="0FE317E5">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农业农村</w:t>
            </w:r>
            <w:r>
              <w:rPr>
                <w:rFonts w:hint="eastAsia" w:ascii="仿宋_GB2312" w:hAnsi="仿宋_GB2312" w:eastAsia="仿宋_GB2312" w:cs="仿宋_GB2312"/>
                <w:sz w:val="24"/>
                <w:szCs w:val="24"/>
              </w:rPr>
              <w:t>局</w:t>
            </w:r>
          </w:p>
        </w:tc>
        <w:tc>
          <w:tcPr>
            <w:tcW w:w="710" w:type="pct"/>
            <w:tcBorders>
              <w:top w:val="single" w:color="auto" w:sz="4" w:space="0"/>
              <w:left w:val="single" w:color="auto" w:sz="4" w:space="0"/>
              <w:bottom w:val="single" w:color="auto" w:sz="4" w:space="0"/>
              <w:right w:val="single" w:color="auto" w:sz="4" w:space="0"/>
            </w:tcBorders>
            <w:noWrap w:val="0"/>
            <w:vAlign w:val="center"/>
          </w:tcPr>
          <w:p w14:paraId="613C63FD">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202</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.0</w:t>
            </w:r>
            <w:r>
              <w:rPr>
                <w:rFonts w:hint="eastAsia" w:ascii="仿宋_GB2312" w:hAnsi="仿宋_GB2312" w:eastAsia="仿宋_GB2312" w:cs="仿宋_GB2312"/>
                <w:sz w:val="24"/>
                <w:szCs w:val="24"/>
                <w:lang w:val="en-US" w:eastAsia="zh-CN"/>
              </w:rPr>
              <w:t>6</w:t>
            </w:r>
          </w:p>
        </w:tc>
        <w:tc>
          <w:tcPr>
            <w:tcW w:w="744" w:type="pct"/>
            <w:tcBorders>
              <w:top w:val="single" w:color="auto" w:sz="4" w:space="0"/>
              <w:left w:val="single" w:color="auto" w:sz="4" w:space="0"/>
              <w:bottom w:val="single" w:color="auto" w:sz="4" w:space="0"/>
              <w:right w:val="single" w:color="auto" w:sz="4" w:space="0"/>
            </w:tcBorders>
            <w:noWrap w:val="0"/>
            <w:vAlign w:val="top"/>
          </w:tcPr>
          <w:p w14:paraId="22765FC0">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p>
        </w:tc>
      </w:tr>
      <w:tr w14:paraId="2E4A1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54" w:type="pct"/>
            <w:tcBorders>
              <w:top w:val="single" w:color="auto" w:sz="4" w:space="0"/>
              <w:left w:val="single" w:color="auto" w:sz="4" w:space="0"/>
              <w:bottom w:val="single" w:color="auto" w:sz="4" w:space="0"/>
              <w:right w:val="single" w:color="auto" w:sz="4" w:space="0"/>
            </w:tcBorders>
            <w:noWrap w:val="0"/>
            <w:vAlign w:val="center"/>
          </w:tcPr>
          <w:p w14:paraId="6B07D818">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2135" w:type="pct"/>
            <w:tcBorders>
              <w:top w:val="single" w:color="auto" w:sz="4" w:space="0"/>
              <w:left w:val="single" w:color="auto" w:sz="4" w:space="0"/>
              <w:bottom w:val="single" w:color="auto" w:sz="4" w:space="0"/>
              <w:right w:val="single" w:color="auto" w:sz="4" w:space="0"/>
            </w:tcBorders>
            <w:noWrap w:val="0"/>
            <w:vAlign w:val="center"/>
          </w:tcPr>
          <w:p w14:paraId="456097C2">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南通市海门区被征地农民资格认定和安置人员产生办法</w:t>
            </w:r>
          </w:p>
        </w:tc>
        <w:tc>
          <w:tcPr>
            <w:tcW w:w="1054" w:type="pct"/>
            <w:tcBorders>
              <w:left w:val="single" w:color="auto" w:sz="4" w:space="0"/>
              <w:right w:val="single" w:color="auto" w:sz="4" w:space="0"/>
            </w:tcBorders>
            <w:noWrap w:val="0"/>
            <w:vAlign w:val="center"/>
          </w:tcPr>
          <w:p w14:paraId="30A087B1">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农业农村</w:t>
            </w:r>
            <w:r>
              <w:rPr>
                <w:rFonts w:hint="eastAsia" w:ascii="仿宋_GB2312" w:hAnsi="仿宋_GB2312" w:eastAsia="仿宋_GB2312" w:cs="仿宋_GB2312"/>
                <w:sz w:val="24"/>
                <w:szCs w:val="24"/>
              </w:rPr>
              <w:t>局</w:t>
            </w:r>
          </w:p>
        </w:tc>
        <w:tc>
          <w:tcPr>
            <w:tcW w:w="710" w:type="pct"/>
            <w:tcBorders>
              <w:top w:val="single" w:color="auto" w:sz="4" w:space="0"/>
              <w:left w:val="single" w:color="auto" w:sz="4" w:space="0"/>
              <w:bottom w:val="single" w:color="auto" w:sz="4" w:space="0"/>
              <w:right w:val="single" w:color="auto" w:sz="4" w:space="0"/>
            </w:tcBorders>
            <w:noWrap w:val="0"/>
            <w:vAlign w:val="center"/>
          </w:tcPr>
          <w:p w14:paraId="4AAC30E0">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2025.06</w:t>
            </w:r>
          </w:p>
        </w:tc>
        <w:tc>
          <w:tcPr>
            <w:tcW w:w="744" w:type="pct"/>
            <w:tcBorders>
              <w:top w:val="single" w:color="auto" w:sz="4" w:space="0"/>
              <w:left w:val="single" w:color="auto" w:sz="4" w:space="0"/>
              <w:bottom w:val="single" w:color="auto" w:sz="4" w:space="0"/>
              <w:right w:val="single" w:color="auto" w:sz="4" w:space="0"/>
            </w:tcBorders>
            <w:noWrap w:val="0"/>
            <w:vAlign w:val="center"/>
          </w:tcPr>
          <w:p w14:paraId="5733E8C0">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textAlignment w:val="auto"/>
              <w:rPr>
                <w:rFonts w:hint="eastAsia" w:ascii="仿宋_GB2312" w:hAnsi="仿宋_GB2312" w:eastAsia="仿宋_GB2312" w:cs="仿宋_GB2312"/>
                <w:sz w:val="24"/>
                <w:szCs w:val="24"/>
              </w:rPr>
            </w:pPr>
          </w:p>
        </w:tc>
      </w:tr>
      <w:tr w14:paraId="44A95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54" w:type="pct"/>
            <w:tcBorders>
              <w:top w:val="single" w:color="auto" w:sz="4" w:space="0"/>
              <w:left w:val="single" w:color="auto" w:sz="4" w:space="0"/>
              <w:bottom w:val="single" w:color="auto" w:sz="4" w:space="0"/>
              <w:right w:val="single" w:color="auto" w:sz="4" w:space="0"/>
            </w:tcBorders>
            <w:noWrap w:val="0"/>
            <w:vAlign w:val="center"/>
          </w:tcPr>
          <w:p w14:paraId="5496A10F">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w:t>
            </w:r>
          </w:p>
        </w:tc>
        <w:tc>
          <w:tcPr>
            <w:tcW w:w="2135" w:type="pct"/>
            <w:tcBorders>
              <w:top w:val="single" w:color="auto" w:sz="4" w:space="0"/>
              <w:left w:val="single" w:color="auto" w:sz="4" w:space="0"/>
              <w:bottom w:val="single" w:color="auto" w:sz="4" w:space="0"/>
              <w:right w:val="single" w:color="auto" w:sz="4" w:space="0"/>
            </w:tcBorders>
            <w:noWrap w:val="0"/>
            <w:vAlign w:val="center"/>
          </w:tcPr>
          <w:p w14:paraId="58BDBD89">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南通市海门区</w:t>
            </w:r>
            <w:r>
              <w:rPr>
                <w:rFonts w:hint="eastAsia" w:ascii="仿宋_GB2312" w:hAnsi="仿宋_GB2312" w:eastAsia="仿宋_GB2312" w:cs="仿宋_GB2312"/>
                <w:sz w:val="24"/>
                <w:szCs w:val="24"/>
                <w:lang w:eastAsia="zh-CN"/>
              </w:rPr>
              <w:t>公路规划及其红线控制标准</w:t>
            </w:r>
          </w:p>
        </w:tc>
        <w:tc>
          <w:tcPr>
            <w:tcW w:w="1054" w:type="pct"/>
            <w:tcBorders>
              <w:left w:val="single" w:color="auto" w:sz="4" w:space="0"/>
              <w:right w:val="single" w:color="auto" w:sz="4" w:space="0"/>
            </w:tcBorders>
            <w:noWrap w:val="0"/>
            <w:vAlign w:val="center"/>
          </w:tcPr>
          <w:p w14:paraId="42CB812A">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交通运输局</w:t>
            </w:r>
          </w:p>
        </w:tc>
        <w:tc>
          <w:tcPr>
            <w:tcW w:w="710" w:type="pct"/>
            <w:tcBorders>
              <w:top w:val="single" w:color="auto" w:sz="4" w:space="0"/>
              <w:left w:val="single" w:color="auto" w:sz="4" w:space="0"/>
              <w:bottom w:val="single" w:color="auto" w:sz="4" w:space="0"/>
              <w:right w:val="single" w:color="auto" w:sz="4" w:space="0"/>
            </w:tcBorders>
            <w:noWrap w:val="0"/>
            <w:vAlign w:val="center"/>
          </w:tcPr>
          <w:p w14:paraId="0615E33B">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2025.06</w:t>
            </w:r>
          </w:p>
        </w:tc>
        <w:tc>
          <w:tcPr>
            <w:tcW w:w="744" w:type="pct"/>
            <w:tcBorders>
              <w:top w:val="single" w:color="auto" w:sz="4" w:space="0"/>
              <w:left w:val="single" w:color="auto" w:sz="4" w:space="0"/>
              <w:bottom w:val="single" w:color="auto" w:sz="4" w:space="0"/>
              <w:right w:val="single" w:color="auto" w:sz="4" w:space="0"/>
            </w:tcBorders>
            <w:noWrap w:val="0"/>
            <w:vAlign w:val="center"/>
          </w:tcPr>
          <w:p w14:paraId="461609EF">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textAlignment w:val="auto"/>
              <w:rPr>
                <w:rFonts w:hint="eastAsia" w:ascii="仿宋_GB2312" w:hAnsi="仿宋_GB2312" w:eastAsia="仿宋_GB2312" w:cs="仿宋_GB2312"/>
                <w:sz w:val="24"/>
                <w:szCs w:val="24"/>
              </w:rPr>
            </w:pPr>
          </w:p>
        </w:tc>
      </w:tr>
      <w:tr w14:paraId="7644C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54" w:type="pct"/>
            <w:tcBorders>
              <w:top w:val="single" w:color="auto" w:sz="4" w:space="0"/>
              <w:left w:val="single" w:color="auto" w:sz="4" w:space="0"/>
              <w:bottom w:val="single" w:color="auto" w:sz="4" w:space="0"/>
              <w:right w:val="single" w:color="auto" w:sz="4" w:space="0"/>
            </w:tcBorders>
            <w:noWrap w:val="0"/>
            <w:vAlign w:val="center"/>
          </w:tcPr>
          <w:p w14:paraId="7A62042A">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2135" w:type="pct"/>
            <w:tcBorders>
              <w:top w:val="single" w:color="auto" w:sz="4" w:space="0"/>
              <w:left w:val="single" w:color="auto" w:sz="4" w:space="0"/>
              <w:bottom w:val="single" w:color="auto" w:sz="4" w:space="0"/>
              <w:right w:val="single" w:color="auto" w:sz="4" w:space="0"/>
            </w:tcBorders>
            <w:noWrap w:val="0"/>
            <w:vAlign w:val="center"/>
          </w:tcPr>
          <w:p w14:paraId="405B0A66">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napToGrid/>
                <w:sz w:val="24"/>
                <w:szCs w:val="24"/>
                <w:lang w:val="en-US" w:eastAsia="zh-CN" w:bidi="ar-SA"/>
              </w:rPr>
              <w:t>南通市海门区关于贯彻落实《国有土地上房屋征收与补偿条例》若干问题的实施意见</w:t>
            </w:r>
          </w:p>
        </w:tc>
        <w:tc>
          <w:tcPr>
            <w:tcW w:w="1054" w:type="pct"/>
            <w:tcBorders>
              <w:left w:val="single" w:color="auto" w:sz="4" w:space="0"/>
              <w:right w:val="single" w:color="auto" w:sz="4" w:space="0"/>
            </w:tcBorders>
            <w:noWrap w:val="0"/>
            <w:vAlign w:val="center"/>
          </w:tcPr>
          <w:p w14:paraId="21A496EE">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住房建设服务中心</w:t>
            </w:r>
          </w:p>
        </w:tc>
        <w:tc>
          <w:tcPr>
            <w:tcW w:w="710" w:type="pct"/>
            <w:tcBorders>
              <w:top w:val="single" w:color="auto" w:sz="4" w:space="0"/>
              <w:left w:val="single" w:color="auto" w:sz="4" w:space="0"/>
              <w:bottom w:val="single" w:color="auto" w:sz="4" w:space="0"/>
              <w:right w:val="single" w:color="auto" w:sz="4" w:space="0"/>
            </w:tcBorders>
            <w:noWrap w:val="0"/>
            <w:vAlign w:val="center"/>
          </w:tcPr>
          <w:p w14:paraId="1B9F40FC">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2025.03</w:t>
            </w:r>
          </w:p>
        </w:tc>
        <w:tc>
          <w:tcPr>
            <w:tcW w:w="744" w:type="pct"/>
            <w:tcBorders>
              <w:top w:val="single" w:color="auto" w:sz="4" w:space="0"/>
              <w:left w:val="single" w:color="auto" w:sz="4" w:space="0"/>
              <w:bottom w:val="single" w:color="auto" w:sz="4" w:space="0"/>
              <w:right w:val="single" w:color="auto" w:sz="4" w:space="0"/>
            </w:tcBorders>
            <w:noWrap w:val="0"/>
            <w:vAlign w:val="center"/>
          </w:tcPr>
          <w:p w14:paraId="214173C3">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上年结转</w:t>
            </w:r>
          </w:p>
        </w:tc>
      </w:tr>
      <w:tr w14:paraId="4C412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354" w:type="pct"/>
            <w:tcBorders>
              <w:top w:val="single" w:color="auto" w:sz="4" w:space="0"/>
              <w:left w:val="single" w:color="auto" w:sz="4" w:space="0"/>
              <w:bottom w:val="single" w:color="auto" w:sz="4" w:space="0"/>
              <w:right w:val="single" w:color="auto" w:sz="4" w:space="0"/>
            </w:tcBorders>
            <w:noWrap w:val="0"/>
            <w:vAlign w:val="center"/>
          </w:tcPr>
          <w:p w14:paraId="10334C5C">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w:t>
            </w:r>
          </w:p>
        </w:tc>
        <w:tc>
          <w:tcPr>
            <w:tcW w:w="2135" w:type="pct"/>
            <w:tcBorders>
              <w:top w:val="single" w:color="auto" w:sz="4" w:space="0"/>
              <w:left w:val="single" w:color="auto" w:sz="4" w:space="0"/>
              <w:bottom w:val="single" w:color="auto" w:sz="4" w:space="0"/>
              <w:right w:val="single" w:color="auto" w:sz="4" w:space="0"/>
            </w:tcBorders>
            <w:noWrap w:val="0"/>
            <w:vAlign w:val="center"/>
          </w:tcPr>
          <w:p w14:paraId="1BE3BEA9">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南通市海门区</w:t>
            </w:r>
            <w:r>
              <w:rPr>
                <w:rFonts w:hint="eastAsia" w:ascii="仿宋_GB2312" w:hAnsi="仿宋_GB2312" w:eastAsia="仿宋_GB2312" w:cs="仿宋_GB2312"/>
                <w:snapToGrid/>
                <w:sz w:val="24"/>
                <w:szCs w:val="24"/>
                <w:lang w:val="en-US" w:eastAsia="zh-CN" w:bidi="ar-SA"/>
              </w:rPr>
              <w:t>农村产权交易管理办法</w:t>
            </w:r>
          </w:p>
        </w:tc>
        <w:tc>
          <w:tcPr>
            <w:tcW w:w="1054" w:type="pct"/>
            <w:tcBorders>
              <w:left w:val="single" w:color="auto" w:sz="4" w:space="0"/>
              <w:right w:val="single" w:color="auto" w:sz="4" w:space="0"/>
            </w:tcBorders>
            <w:noWrap w:val="0"/>
            <w:vAlign w:val="center"/>
          </w:tcPr>
          <w:p w14:paraId="15E1A28F">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农业农村局</w:t>
            </w:r>
          </w:p>
        </w:tc>
        <w:tc>
          <w:tcPr>
            <w:tcW w:w="710" w:type="pct"/>
            <w:tcBorders>
              <w:top w:val="single" w:color="auto" w:sz="4" w:space="0"/>
              <w:left w:val="single" w:color="auto" w:sz="4" w:space="0"/>
              <w:bottom w:val="single" w:color="auto" w:sz="4" w:space="0"/>
              <w:right w:val="single" w:color="auto" w:sz="4" w:space="0"/>
            </w:tcBorders>
            <w:noWrap w:val="0"/>
            <w:vAlign w:val="center"/>
          </w:tcPr>
          <w:p w14:paraId="632C1322">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2025.03</w:t>
            </w:r>
          </w:p>
        </w:tc>
        <w:tc>
          <w:tcPr>
            <w:tcW w:w="744" w:type="pct"/>
            <w:tcBorders>
              <w:top w:val="single" w:color="auto" w:sz="4" w:space="0"/>
              <w:left w:val="single" w:color="auto" w:sz="4" w:space="0"/>
              <w:bottom w:val="single" w:color="auto" w:sz="4" w:space="0"/>
              <w:right w:val="single" w:color="auto" w:sz="4" w:space="0"/>
            </w:tcBorders>
            <w:noWrap w:val="0"/>
            <w:vAlign w:val="center"/>
          </w:tcPr>
          <w:p w14:paraId="0E5248F9">
            <w:pPr>
              <w:keepNext w:val="0"/>
              <w:keepLines w:val="0"/>
              <w:pageBreakBefore w:val="0"/>
              <w:widowControl w:val="0"/>
              <w:kinsoku/>
              <w:wordWrap/>
              <w:overflowPunct/>
              <w:topLinePunct w:val="0"/>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上年结转</w:t>
            </w:r>
          </w:p>
        </w:tc>
      </w:tr>
    </w:tbl>
    <w:p w14:paraId="38086860">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32"/>
          <w:szCs w:val="32"/>
        </w:rPr>
      </w:pPr>
      <w:r>
        <w:rPr>
          <w:rFonts w:hint="eastAsia" w:ascii="方正小标宋_GBK" w:hAnsi="方正小标宋_GBK" w:eastAsia="方正小标宋_GBK" w:cs="方正小标宋_GBK"/>
          <w:color w:val="000000"/>
          <w:sz w:val="32"/>
          <w:szCs w:val="32"/>
        </w:rPr>
        <w:t>区政府办公室关于公布2025年区政府重大行政决策事项目录的通知</w:t>
      </w:r>
    </w:p>
    <w:p w14:paraId="119CF22C">
      <w:pPr>
        <w:keepNext w:val="0"/>
        <w:keepLines w:val="0"/>
        <w:pageBreakBefore w:val="0"/>
        <w:widowControl w:val="0"/>
        <w:tabs>
          <w:tab w:val="left" w:pos="8364"/>
        </w:tabs>
        <w:kinsoku/>
        <w:bidi w:val="0"/>
        <w:spacing w:line="400" w:lineRule="exact"/>
        <w:ind w:right="0" w:rightChars="0"/>
        <w:jc w:val="both"/>
        <w:textAlignment w:val="auto"/>
        <w:rPr>
          <w:rFonts w:hint="eastAsia" w:ascii="仿宋_GB2312" w:hAnsi="仿宋_GB2312" w:eastAsia="仿宋_GB2312" w:cs="仿宋_GB2312"/>
          <w:sz w:val="24"/>
          <w:szCs w:val="24"/>
        </w:rPr>
      </w:pPr>
    </w:p>
    <w:p w14:paraId="4EAB41A8">
      <w:pPr>
        <w:keepNext w:val="0"/>
        <w:keepLines w:val="0"/>
        <w:pageBreakBefore w:val="0"/>
        <w:widowControl w:val="0"/>
        <w:kinsoku/>
        <w:bidi w:val="0"/>
        <w:spacing w:line="400" w:lineRule="exact"/>
        <w:ind w:right="0" w:rightChars="0"/>
        <w:jc w:val="center"/>
        <w:textAlignment w:val="auto"/>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海政办发〔2025〕4号</w:t>
      </w:r>
    </w:p>
    <w:p w14:paraId="4E9A88E8">
      <w:pPr>
        <w:keepNext w:val="0"/>
        <w:keepLines w:val="0"/>
        <w:pageBreakBefore w:val="0"/>
        <w:widowControl w:val="0"/>
        <w:kinsoku/>
        <w:bidi w:val="0"/>
        <w:spacing w:line="400" w:lineRule="exact"/>
        <w:ind w:left="0" w:right="0" w:rightChars="0" w:firstLine="480" w:firstLineChars="200"/>
        <w:jc w:val="center"/>
        <w:textAlignment w:val="auto"/>
        <w:rPr>
          <w:rFonts w:hint="eastAsia" w:ascii="仿宋_GB2312" w:hAnsi="仿宋_GB2312" w:eastAsia="仿宋_GB2312" w:cs="仿宋_GB2312"/>
          <w:sz w:val="24"/>
          <w:szCs w:val="24"/>
        </w:rPr>
      </w:pPr>
    </w:p>
    <w:p w14:paraId="55F04C52">
      <w:pPr>
        <w:keepNext w:val="0"/>
        <w:keepLines w:val="0"/>
        <w:pageBreakBefore w:val="0"/>
        <w:widowControl w:val="0"/>
        <w:kinsoku/>
        <w:bidi w:val="0"/>
        <w:adjustRightInd w:val="0"/>
        <w:snapToGrid w:val="0"/>
        <w:spacing w:line="400" w:lineRule="exact"/>
        <w:ind w:right="0" w:right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各区镇（街道）政府（管委会、办事处），区各委办局，区各直属单位，各垂直管理部门（单位）：</w:t>
      </w:r>
    </w:p>
    <w:p w14:paraId="5B12CD9A">
      <w:pPr>
        <w:keepNext w:val="0"/>
        <w:keepLines w:val="0"/>
        <w:pageBreakBefore w:val="0"/>
        <w:widowControl w:val="0"/>
        <w:kinsoku/>
        <w:bidi w:val="0"/>
        <w:spacing w:line="400" w:lineRule="exact"/>
        <w:ind w:left="0" w:right="0" w:rightChars="0"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规范政府重大行政决策行为，促进依法决策、科学决策、民主决策，提高决策质量和效率，根据《重大行政决策程序暂行条例》等有关规定和要求，经各部门申报、相关部门会商审议等程序，并报区人民政府同意，现将《2025年区政府重大行政决策事项目录》予以公布。请区各有关部门按照程序规定和要求，认真做好目录事项的起草、决策、实施等各项工作。</w:t>
      </w:r>
    </w:p>
    <w:p w14:paraId="2EBBA7A2">
      <w:pPr>
        <w:keepNext w:val="0"/>
        <w:keepLines w:val="0"/>
        <w:pageBreakBefore w:val="0"/>
        <w:widowControl w:val="0"/>
        <w:kinsoku/>
        <w:topLinePunct/>
        <w:bidi w:val="0"/>
        <w:spacing w:line="400" w:lineRule="exact"/>
        <w:ind w:left="0" w:right="0" w:rightChars="0" w:firstLine="480" w:firstLineChars="200"/>
        <w:jc w:val="right"/>
        <w:textAlignment w:val="auto"/>
        <w:rPr>
          <w:rFonts w:hint="eastAsia" w:ascii="仿宋_GB2312" w:hAnsi="仿宋_GB2312" w:eastAsia="仿宋_GB2312" w:cs="仿宋_GB2312"/>
          <w:sz w:val="24"/>
          <w:szCs w:val="24"/>
        </w:rPr>
      </w:pPr>
    </w:p>
    <w:p w14:paraId="5B6DE5A6">
      <w:pPr>
        <w:keepNext w:val="0"/>
        <w:keepLines w:val="0"/>
        <w:pageBreakBefore w:val="0"/>
        <w:widowControl w:val="0"/>
        <w:kinsoku/>
        <w:wordWrap/>
        <w:overflowPunct/>
        <w:topLinePunct/>
        <w:bidi w:val="0"/>
        <w:adjustRightInd/>
        <w:spacing w:line="400" w:lineRule="exact"/>
        <w:ind w:left="0" w:right="0" w:rightChars="0" w:firstLine="0" w:firstLineChars="0"/>
        <w:jc w:val="both"/>
        <w:textAlignment w:val="auto"/>
        <w:rPr>
          <w:rFonts w:hint="eastAsia" w:ascii="仿宋_GB2312" w:hAnsi="仿宋_GB2312" w:eastAsia="仿宋_GB2312" w:cs="仿宋_GB2312"/>
          <w:sz w:val="24"/>
          <w:szCs w:val="24"/>
        </w:rPr>
      </w:pPr>
    </w:p>
    <w:p w14:paraId="069A4CAE">
      <w:pPr>
        <w:keepNext w:val="0"/>
        <w:keepLines w:val="0"/>
        <w:pageBreakBefore w:val="0"/>
        <w:widowControl w:val="0"/>
        <w:kinsoku/>
        <w:wordWrap/>
        <w:overflowPunct/>
        <w:topLinePunct/>
        <w:bidi w:val="0"/>
        <w:adjustRightInd/>
        <w:spacing w:line="400" w:lineRule="exact"/>
        <w:ind w:left="0" w:right="0" w:rightChars="0" w:firstLine="0" w:firstLineChars="0"/>
        <w:jc w:val="righ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南通市海门区人民政府办公室</w:t>
      </w:r>
    </w:p>
    <w:p w14:paraId="78228A94">
      <w:pPr>
        <w:keepNext w:val="0"/>
        <w:keepLines w:val="0"/>
        <w:pageBreakBefore w:val="0"/>
        <w:widowControl w:val="0"/>
        <w:kinsoku/>
        <w:wordWrap/>
        <w:overflowPunct/>
        <w:topLinePunct/>
        <w:bidi w:val="0"/>
        <w:adjustRightInd/>
        <w:spacing w:line="400" w:lineRule="exact"/>
        <w:ind w:left="0" w:right="0" w:rightChars="0" w:firstLine="0" w:firstLineChars="0"/>
        <w:jc w:val="righ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2025年3月4日</w:t>
      </w:r>
    </w:p>
    <w:p w14:paraId="1CFAE2AD">
      <w:pPr>
        <w:keepNext w:val="0"/>
        <w:keepLines w:val="0"/>
        <w:pageBreakBefore w:val="0"/>
        <w:widowControl w:val="0"/>
        <w:kinsoku/>
        <w:wordWrap/>
        <w:overflowPunct/>
        <w:bidi w:val="0"/>
        <w:adjustRightInd/>
        <w:spacing w:line="400" w:lineRule="exact"/>
        <w:ind w:left="0" w:right="0" w:rightChars="0" w:firstLine="0" w:firstLineChars="0"/>
        <w:jc w:val="center"/>
        <w:textAlignment w:val="auto"/>
        <w:rPr>
          <w:rFonts w:hint="eastAsia" w:ascii="仿宋_GB2312" w:hAnsi="仿宋_GB2312" w:eastAsia="仿宋_GB2312" w:cs="仿宋_GB2312"/>
          <w:sz w:val="24"/>
          <w:szCs w:val="24"/>
        </w:rPr>
      </w:pPr>
    </w:p>
    <w:p w14:paraId="36ABB40C">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28"/>
          <w:szCs w:val="28"/>
          <w:lang w:val="en-US" w:eastAsia="zh-CN"/>
        </w:rPr>
      </w:pPr>
      <w:r>
        <w:rPr>
          <w:rFonts w:hint="eastAsia" w:ascii="方正小标宋_GBK" w:hAnsi="方正小标宋_GBK" w:eastAsia="方正小标宋_GBK" w:cs="方正小标宋_GBK"/>
          <w:color w:val="000000"/>
          <w:sz w:val="28"/>
          <w:szCs w:val="28"/>
          <w:lang w:val="en-US" w:eastAsia="zh-CN"/>
        </w:rPr>
        <w:t>2025年区政府重大行政决策事项目录</w:t>
      </w:r>
    </w:p>
    <w:tbl>
      <w:tblPr>
        <w:tblStyle w:val="5"/>
        <w:tblpPr w:leftFromText="180" w:rightFromText="180" w:vertAnchor="text" w:horzAnchor="page" w:tblpXSpec="center" w:tblpY="207"/>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6"/>
        <w:gridCol w:w="2346"/>
        <w:gridCol w:w="786"/>
        <w:gridCol w:w="2136"/>
        <w:gridCol w:w="3226"/>
      </w:tblGrid>
      <w:tr w14:paraId="41056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0" w:type="auto"/>
            <w:tcBorders>
              <w:top w:val="single" w:color="auto" w:sz="4" w:space="0"/>
              <w:left w:val="single" w:color="auto" w:sz="4" w:space="0"/>
              <w:bottom w:val="single" w:color="auto" w:sz="4" w:space="0"/>
              <w:right w:val="single" w:color="auto" w:sz="4" w:space="0"/>
            </w:tcBorders>
            <w:noWrap w:val="0"/>
            <w:vAlign w:val="center"/>
          </w:tcPr>
          <w:p w14:paraId="46596863">
            <w:pPr>
              <w:keepNext w:val="0"/>
              <w:keepLines w:val="0"/>
              <w:pageBreakBefore w:val="0"/>
              <w:widowControl w:val="0"/>
              <w:kinsoku/>
              <w:wordWrap/>
              <w:overflowPunct/>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序号</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531986DE">
            <w:pPr>
              <w:keepNext w:val="0"/>
              <w:keepLines w:val="0"/>
              <w:pageBreakBefore w:val="0"/>
              <w:widowControl w:val="0"/>
              <w:kinsoku/>
              <w:wordWrap/>
              <w:overflowPunct/>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决策项目</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62FF40B2">
            <w:pPr>
              <w:keepNext w:val="0"/>
              <w:keepLines w:val="0"/>
              <w:pageBreakBefore w:val="0"/>
              <w:widowControl w:val="0"/>
              <w:kinsoku/>
              <w:wordWrap/>
              <w:overflowPunct/>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申报单位</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53561D30">
            <w:pPr>
              <w:keepNext w:val="0"/>
              <w:keepLines w:val="0"/>
              <w:pageBreakBefore w:val="0"/>
              <w:widowControl w:val="0"/>
              <w:kinsoku/>
              <w:wordWrap/>
              <w:overflowPunct/>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拟决策时间</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53ED37E">
            <w:pPr>
              <w:keepNext w:val="0"/>
              <w:keepLines w:val="0"/>
              <w:pageBreakBefore w:val="0"/>
              <w:widowControl w:val="0"/>
              <w:kinsoku/>
              <w:wordWrap/>
              <w:overflowPunct/>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决策程序</w:t>
            </w:r>
          </w:p>
        </w:tc>
      </w:tr>
      <w:tr w14:paraId="65480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jc w:val="center"/>
        </w:trPr>
        <w:tc>
          <w:tcPr>
            <w:tcW w:w="0" w:type="auto"/>
            <w:tcBorders>
              <w:top w:val="single" w:color="auto" w:sz="4" w:space="0"/>
              <w:left w:val="single" w:color="auto" w:sz="4" w:space="0"/>
              <w:bottom w:val="single" w:color="auto" w:sz="4" w:space="0"/>
              <w:right w:val="single" w:color="auto" w:sz="4" w:space="0"/>
            </w:tcBorders>
            <w:noWrap w:val="0"/>
            <w:vAlign w:val="center"/>
          </w:tcPr>
          <w:p w14:paraId="03C00F7B">
            <w:pPr>
              <w:keepNext w:val="0"/>
              <w:keepLines w:val="0"/>
              <w:pageBreakBefore w:val="0"/>
              <w:widowControl w:val="0"/>
              <w:kinsoku/>
              <w:wordWrap/>
              <w:overflowPunct/>
              <w:autoSpaceDE w:val="0"/>
              <w:autoSpaceDN w:val="0"/>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62C0F5E9">
            <w:pPr>
              <w:keepNext w:val="0"/>
              <w:keepLines w:val="0"/>
              <w:pageBreakBefore w:val="0"/>
              <w:widowControl w:val="0"/>
              <w:kinsoku/>
              <w:wordWrap/>
              <w:overflowPunct/>
              <w:bidi w:val="0"/>
              <w:adjustRightInd/>
              <w:snapToGrid w:val="0"/>
              <w:spacing w:line="400" w:lineRule="exact"/>
              <w:ind w:left="0" w:right="0" w:rightChars="0" w:firstLine="0" w:firstLineChars="0"/>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南通市海门区“十五五”规划《纲要》</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7398D0F1">
            <w:pPr>
              <w:keepNext w:val="0"/>
              <w:keepLines w:val="0"/>
              <w:pageBreakBefore w:val="0"/>
              <w:widowControl w:val="0"/>
              <w:kinsoku/>
              <w:wordWrap/>
              <w:overflowPunct/>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发改委</w:t>
            </w:r>
          </w:p>
        </w:tc>
        <w:tc>
          <w:tcPr>
            <w:tcW w:w="0" w:type="auto"/>
            <w:tcBorders>
              <w:top w:val="single" w:color="auto" w:sz="4" w:space="0"/>
              <w:left w:val="single" w:color="auto" w:sz="4" w:space="0"/>
              <w:bottom w:val="single" w:color="auto" w:sz="4" w:space="0"/>
              <w:right w:val="single" w:color="auto" w:sz="4" w:space="0"/>
            </w:tcBorders>
            <w:noWrap w:val="0"/>
            <w:vAlign w:val="center"/>
          </w:tcPr>
          <w:p w14:paraId="01CCB768">
            <w:pPr>
              <w:keepNext w:val="0"/>
              <w:keepLines w:val="0"/>
              <w:pageBreakBefore w:val="0"/>
              <w:widowControl w:val="0"/>
              <w:kinsoku/>
              <w:wordWrap/>
              <w:overflowPunct/>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p>
          <w:p w14:paraId="7371DFE0">
            <w:pPr>
              <w:keepNext w:val="0"/>
              <w:keepLines w:val="0"/>
              <w:pageBreakBefore w:val="0"/>
              <w:widowControl w:val="0"/>
              <w:kinsoku/>
              <w:wordWrap/>
              <w:overflowPunct/>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2025.12—2026.01</w:t>
            </w:r>
          </w:p>
          <w:p w14:paraId="433BAC65">
            <w:pPr>
              <w:keepNext w:val="0"/>
              <w:keepLines w:val="0"/>
              <w:pageBreakBefore w:val="0"/>
              <w:widowControl w:val="0"/>
              <w:kinsoku/>
              <w:wordWrap/>
              <w:overflowPunct/>
              <w:bidi w:val="0"/>
              <w:adjustRightInd/>
              <w:snapToGrid w:val="0"/>
              <w:spacing w:line="400" w:lineRule="exact"/>
              <w:ind w:left="0" w:right="0" w:rightChars="0" w:firstLine="0" w:firstLineChars="0"/>
              <w:jc w:val="center"/>
              <w:textAlignment w:val="auto"/>
              <w:rPr>
                <w:rFonts w:hint="eastAsia" w:ascii="仿宋_GB2312" w:hAnsi="仿宋_GB2312" w:eastAsia="仿宋_GB2312" w:cs="仿宋_GB2312"/>
                <w:sz w:val="24"/>
                <w:szCs w:val="24"/>
              </w:rPr>
            </w:pPr>
          </w:p>
        </w:tc>
        <w:tc>
          <w:tcPr>
            <w:tcW w:w="0" w:type="auto"/>
            <w:tcBorders>
              <w:top w:val="single" w:color="auto" w:sz="4" w:space="0"/>
              <w:left w:val="single" w:color="auto" w:sz="4" w:space="0"/>
              <w:bottom w:val="single" w:color="auto" w:sz="4" w:space="0"/>
              <w:right w:val="single" w:color="auto" w:sz="4" w:space="0"/>
            </w:tcBorders>
            <w:noWrap w:val="0"/>
            <w:vAlign w:val="center"/>
          </w:tcPr>
          <w:p w14:paraId="1EC350D9">
            <w:pPr>
              <w:keepNext w:val="0"/>
              <w:keepLines w:val="0"/>
              <w:pageBreakBefore w:val="0"/>
              <w:widowControl w:val="0"/>
              <w:kinsoku/>
              <w:wordWrap/>
              <w:overflowPunct/>
              <w:bidi w:val="0"/>
              <w:adjustRightInd/>
              <w:snapToGrid w:val="0"/>
              <w:spacing w:line="400" w:lineRule="exact"/>
              <w:ind w:left="0" w:right="0" w:rightChars="0"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公众参与、专家论证、风险评估、合法性审查、集体讨论</w:t>
            </w:r>
          </w:p>
        </w:tc>
      </w:tr>
    </w:tbl>
    <w:p w14:paraId="47DC3E6A">
      <w:pPr>
        <w:keepNext w:val="0"/>
        <w:keepLines w:val="0"/>
        <w:pageBreakBefore w:val="0"/>
        <w:widowControl w:val="0"/>
        <w:kinsoku/>
        <w:bidi w:val="0"/>
        <w:spacing w:line="400" w:lineRule="exact"/>
        <w:ind w:left="0" w:right="0" w:rightChars="0" w:firstLine="480" w:firstLineChars="200"/>
        <w:textAlignment w:val="auto"/>
        <w:rPr>
          <w:rFonts w:hint="eastAsia" w:ascii="仿宋_GB2312" w:hAnsi="仿宋_GB2312" w:eastAsia="仿宋_GB2312" w:cs="仿宋_GB2312"/>
          <w:sz w:val="24"/>
          <w:szCs w:val="24"/>
        </w:rPr>
      </w:pPr>
    </w:p>
    <w:p w14:paraId="4E8C276A">
      <w:pPr>
        <w:keepNext w:val="0"/>
        <w:keepLines w:val="0"/>
        <w:pageBreakBefore w:val="0"/>
        <w:widowControl w:val="0"/>
        <w:kinsoku/>
        <w:bidi w:val="0"/>
        <w:spacing w:line="400" w:lineRule="exact"/>
        <w:ind w:left="0" w:right="0" w:rightChars="0" w:firstLine="480" w:firstLineChars="200"/>
        <w:textAlignment w:val="auto"/>
        <w:rPr>
          <w:rFonts w:hint="eastAsia" w:ascii="仿宋_GB2312" w:hAnsi="仿宋_GB2312" w:eastAsia="仿宋_GB2312" w:cs="仿宋_GB2312"/>
          <w:sz w:val="24"/>
          <w:szCs w:val="24"/>
        </w:rPr>
      </w:pPr>
    </w:p>
    <w:p w14:paraId="4C6F2072">
      <w:pPr>
        <w:keepNext w:val="0"/>
        <w:keepLines w:val="0"/>
        <w:pageBreakBefore w:val="0"/>
        <w:widowControl w:val="0"/>
        <w:kinsoku/>
        <w:bidi w:val="0"/>
        <w:spacing w:line="400" w:lineRule="exact"/>
        <w:ind w:right="0" w:rightChars="0"/>
        <w:textAlignment w:val="auto"/>
        <w:rPr>
          <w:rFonts w:hint="eastAsia" w:ascii="仿宋_GB2312" w:hAnsi="仿宋_GB2312" w:eastAsia="仿宋_GB2312" w:cs="仿宋_GB2312"/>
          <w:sz w:val="24"/>
          <w:szCs w:val="24"/>
        </w:rPr>
      </w:pPr>
    </w:p>
    <w:p w14:paraId="49403B34">
      <w:pPr>
        <w:pStyle w:val="8"/>
        <w:keepNext w:val="0"/>
        <w:keepLines w:val="0"/>
        <w:pageBreakBefore w:val="0"/>
        <w:widowControl w:val="0"/>
        <w:kinsoku/>
        <w:wordWrap/>
        <w:overflowPunct/>
        <w:topLinePunct w:val="0"/>
        <w:autoSpaceDE/>
        <w:autoSpaceDN/>
        <w:bidi w:val="0"/>
        <w:adjustRightInd/>
        <w:snapToGrid/>
        <w:spacing w:line="400" w:lineRule="exact"/>
        <w:ind w:left="0" w:right="0" w:rightChars="0" w:firstLine="640" w:firstLineChars="200"/>
        <w:textAlignment w:val="auto"/>
        <w:rPr>
          <w:rFonts w:hint="eastAsia" w:ascii="方正小标宋_GBK" w:hAnsi="方正小标宋_GBK" w:eastAsia="方正小标宋_GBK" w:cs="方正小标宋_GBK"/>
          <w:color w:val="000000"/>
          <w:kern w:val="2"/>
          <w:sz w:val="32"/>
          <w:szCs w:val="32"/>
          <w:lang w:val="en-US" w:eastAsia="zh-CN" w:bidi="ar-SA"/>
        </w:rPr>
      </w:pPr>
    </w:p>
    <w:p w14:paraId="703A7A47">
      <w:pPr>
        <w:pStyle w:val="8"/>
        <w:keepNext w:val="0"/>
        <w:keepLines w:val="0"/>
        <w:pageBreakBefore w:val="0"/>
        <w:widowControl w:val="0"/>
        <w:kinsoku/>
        <w:wordWrap/>
        <w:overflowPunct/>
        <w:topLinePunct w:val="0"/>
        <w:autoSpaceDE/>
        <w:autoSpaceDN/>
        <w:bidi w:val="0"/>
        <w:adjustRightInd/>
        <w:snapToGrid/>
        <w:spacing w:line="400" w:lineRule="exact"/>
        <w:ind w:left="0" w:right="0" w:rightChars="0" w:firstLine="640" w:firstLineChars="200"/>
        <w:textAlignment w:val="auto"/>
        <w:rPr>
          <w:rFonts w:hint="eastAsia" w:ascii="方正小标宋_GBK" w:hAnsi="方正小标宋_GBK" w:eastAsia="方正小标宋_GBK" w:cs="方正小标宋_GBK"/>
          <w:color w:val="000000"/>
          <w:kern w:val="2"/>
          <w:sz w:val="32"/>
          <w:szCs w:val="32"/>
          <w:lang w:val="en-US" w:eastAsia="zh-CN" w:bidi="ar-SA"/>
        </w:rPr>
      </w:pPr>
    </w:p>
    <w:p w14:paraId="57E27F48">
      <w:pPr>
        <w:pStyle w:val="8"/>
        <w:keepNext w:val="0"/>
        <w:keepLines w:val="0"/>
        <w:pageBreakBefore w:val="0"/>
        <w:widowControl w:val="0"/>
        <w:kinsoku/>
        <w:wordWrap/>
        <w:overflowPunct/>
        <w:topLinePunct w:val="0"/>
        <w:autoSpaceDE/>
        <w:autoSpaceDN/>
        <w:bidi w:val="0"/>
        <w:adjustRightInd/>
        <w:snapToGrid/>
        <w:spacing w:line="400" w:lineRule="exact"/>
        <w:ind w:left="0" w:right="0" w:rightChars="0" w:firstLine="640" w:firstLineChars="200"/>
        <w:textAlignment w:val="auto"/>
        <w:rPr>
          <w:rFonts w:hint="eastAsia" w:ascii="方正小标宋_GBK" w:hAnsi="方正小标宋_GBK" w:eastAsia="方正小标宋_GBK" w:cs="方正小标宋_GBK"/>
          <w:color w:val="000000"/>
          <w:kern w:val="2"/>
          <w:sz w:val="32"/>
          <w:szCs w:val="32"/>
          <w:lang w:val="en-US" w:eastAsia="zh-CN" w:bidi="ar-SA"/>
        </w:rPr>
      </w:pPr>
    </w:p>
    <w:p w14:paraId="3ECDC3D1">
      <w:pPr>
        <w:pStyle w:val="8"/>
        <w:keepNext w:val="0"/>
        <w:keepLines w:val="0"/>
        <w:pageBreakBefore w:val="0"/>
        <w:widowControl w:val="0"/>
        <w:kinsoku/>
        <w:wordWrap/>
        <w:overflowPunct/>
        <w:topLinePunct w:val="0"/>
        <w:autoSpaceDE/>
        <w:autoSpaceDN/>
        <w:bidi w:val="0"/>
        <w:adjustRightInd/>
        <w:snapToGrid/>
        <w:spacing w:line="400" w:lineRule="exact"/>
        <w:ind w:left="0" w:right="0" w:rightChars="0" w:firstLine="640" w:firstLineChars="200"/>
        <w:textAlignment w:val="auto"/>
        <w:rPr>
          <w:rFonts w:hint="eastAsia" w:ascii="方正小标宋_GBK" w:hAnsi="方正小标宋_GBK" w:eastAsia="方正小标宋_GBK" w:cs="方正小标宋_GBK"/>
          <w:color w:val="000000"/>
          <w:kern w:val="2"/>
          <w:sz w:val="32"/>
          <w:szCs w:val="32"/>
          <w:lang w:val="en-US" w:eastAsia="zh-CN" w:bidi="ar-SA"/>
        </w:rPr>
      </w:pPr>
    </w:p>
    <w:p w14:paraId="576C8A63">
      <w:pPr>
        <w:pStyle w:val="8"/>
        <w:keepNext w:val="0"/>
        <w:keepLines w:val="0"/>
        <w:pageBreakBefore w:val="0"/>
        <w:widowControl w:val="0"/>
        <w:kinsoku/>
        <w:wordWrap/>
        <w:overflowPunct/>
        <w:topLinePunct w:val="0"/>
        <w:autoSpaceDE/>
        <w:autoSpaceDN/>
        <w:bidi w:val="0"/>
        <w:adjustRightInd/>
        <w:snapToGrid/>
        <w:spacing w:line="400" w:lineRule="exact"/>
        <w:ind w:left="0" w:right="0" w:rightChars="0" w:firstLine="640" w:firstLineChars="200"/>
        <w:textAlignment w:val="auto"/>
        <w:rPr>
          <w:rFonts w:hint="eastAsia" w:ascii="方正小标宋_GBK" w:hAnsi="方正小标宋_GBK" w:eastAsia="方正小标宋_GBK" w:cs="方正小标宋_GBK"/>
          <w:color w:val="000000"/>
          <w:kern w:val="2"/>
          <w:sz w:val="32"/>
          <w:szCs w:val="32"/>
          <w:lang w:val="en-US" w:eastAsia="zh-CN" w:bidi="ar-SA"/>
        </w:rPr>
      </w:pPr>
    </w:p>
    <w:p w14:paraId="299398FA">
      <w:pPr>
        <w:pStyle w:val="8"/>
        <w:keepNext w:val="0"/>
        <w:keepLines w:val="0"/>
        <w:pageBreakBefore w:val="0"/>
        <w:widowControl w:val="0"/>
        <w:kinsoku/>
        <w:wordWrap/>
        <w:overflowPunct/>
        <w:topLinePunct w:val="0"/>
        <w:autoSpaceDE/>
        <w:autoSpaceDN/>
        <w:bidi w:val="0"/>
        <w:adjustRightInd/>
        <w:snapToGrid/>
        <w:spacing w:line="400" w:lineRule="exact"/>
        <w:ind w:left="0" w:right="0" w:rightChars="0" w:firstLine="640" w:firstLineChars="200"/>
        <w:textAlignment w:val="auto"/>
        <w:rPr>
          <w:rFonts w:hint="eastAsia" w:ascii="方正小标宋_GBK" w:hAnsi="方正小标宋_GBK" w:eastAsia="方正小标宋_GBK" w:cs="方正小标宋_GBK"/>
          <w:color w:val="000000"/>
          <w:kern w:val="2"/>
          <w:sz w:val="32"/>
          <w:szCs w:val="32"/>
          <w:lang w:val="en-US" w:eastAsia="zh-CN" w:bidi="ar-SA"/>
        </w:rPr>
      </w:pPr>
    </w:p>
    <w:p w14:paraId="00A803A9">
      <w:pPr>
        <w:pStyle w:val="8"/>
        <w:keepNext w:val="0"/>
        <w:keepLines w:val="0"/>
        <w:pageBreakBefore w:val="0"/>
        <w:widowControl w:val="0"/>
        <w:kinsoku/>
        <w:wordWrap/>
        <w:overflowPunct/>
        <w:topLinePunct w:val="0"/>
        <w:autoSpaceDE/>
        <w:autoSpaceDN/>
        <w:bidi w:val="0"/>
        <w:adjustRightInd/>
        <w:snapToGrid/>
        <w:spacing w:line="400" w:lineRule="exact"/>
        <w:ind w:left="0" w:right="0" w:rightChars="0" w:firstLine="640" w:firstLineChars="200"/>
        <w:textAlignment w:val="auto"/>
        <w:rPr>
          <w:rFonts w:hint="eastAsia" w:ascii="方正小标宋_GBK" w:hAnsi="方正小标宋_GBK" w:eastAsia="方正小标宋_GBK" w:cs="方正小标宋_GBK"/>
          <w:color w:val="000000"/>
          <w:kern w:val="2"/>
          <w:sz w:val="32"/>
          <w:szCs w:val="32"/>
          <w:lang w:val="en-US" w:eastAsia="zh-CN" w:bidi="ar-SA"/>
        </w:rPr>
      </w:pPr>
      <w:r>
        <w:rPr>
          <w:rFonts w:hint="eastAsia" w:ascii="方正小标宋_GBK" w:hAnsi="方正小标宋_GBK" w:eastAsia="方正小标宋_GBK" w:cs="方正小标宋_GBK"/>
          <w:color w:val="000000"/>
          <w:kern w:val="2"/>
          <w:sz w:val="32"/>
          <w:szCs w:val="32"/>
          <w:lang w:val="en-US" w:eastAsia="zh-CN" w:bidi="ar-SA"/>
        </w:rPr>
        <w:t>区政府办公室关于印发2025年度全区行政执法监督工作计划的通知</w:t>
      </w:r>
    </w:p>
    <w:p w14:paraId="38D768F5">
      <w:pPr>
        <w:keepNext w:val="0"/>
        <w:keepLines w:val="0"/>
        <w:pageBreakBefore w:val="0"/>
        <w:widowControl w:val="0"/>
        <w:tabs>
          <w:tab w:val="left" w:pos="8364"/>
        </w:tabs>
        <w:kinsoku/>
        <w:bidi w:val="0"/>
        <w:spacing w:line="400" w:lineRule="exact"/>
        <w:ind w:left="0" w:right="0" w:rightChars="0" w:firstLine="480" w:firstLineChars="200"/>
        <w:jc w:val="center"/>
        <w:textAlignment w:val="auto"/>
        <w:rPr>
          <w:rFonts w:hint="eastAsia" w:ascii="仿宋_GB2312" w:hAnsi="仿宋_GB2312" w:eastAsia="仿宋_GB2312" w:cs="仿宋_GB2312"/>
          <w:sz w:val="24"/>
          <w:szCs w:val="24"/>
        </w:rPr>
      </w:pPr>
    </w:p>
    <w:p w14:paraId="3B19CC4F">
      <w:pPr>
        <w:keepNext w:val="0"/>
        <w:keepLines w:val="0"/>
        <w:pageBreakBefore w:val="0"/>
        <w:widowControl w:val="0"/>
        <w:kinsoku/>
        <w:bidi w:val="0"/>
        <w:spacing w:line="400" w:lineRule="exact"/>
        <w:ind w:right="0" w:rightChars="0"/>
        <w:jc w:val="center"/>
        <w:textAlignment w:val="auto"/>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海政办发〔</w:t>
      </w:r>
      <w:r>
        <w:rPr>
          <w:rFonts w:hint="eastAsia" w:ascii="楷体_GB2312" w:hAnsi="楷体_GB2312" w:eastAsia="楷体_GB2312" w:cs="楷体_GB2312"/>
          <w:sz w:val="24"/>
          <w:szCs w:val="24"/>
          <w:lang w:val="en-US" w:eastAsia="zh-CN"/>
        </w:rPr>
        <w:t>2025</w:t>
      </w:r>
      <w:r>
        <w:rPr>
          <w:rFonts w:hint="eastAsia" w:ascii="楷体_GB2312" w:hAnsi="楷体_GB2312" w:eastAsia="楷体_GB2312" w:cs="楷体_GB2312"/>
          <w:sz w:val="24"/>
          <w:szCs w:val="24"/>
        </w:rPr>
        <w:t>〕</w:t>
      </w:r>
      <w:r>
        <w:rPr>
          <w:rFonts w:hint="eastAsia" w:ascii="楷体_GB2312" w:hAnsi="楷体_GB2312" w:eastAsia="楷体_GB2312" w:cs="楷体_GB2312"/>
          <w:sz w:val="24"/>
          <w:szCs w:val="24"/>
          <w:lang w:val="en-US" w:eastAsia="zh-CN"/>
        </w:rPr>
        <w:t>5</w:t>
      </w:r>
      <w:r>
        <w:rPr>
          <w:rFonts w:hint="eastAsia" w:ascii="楷体_GB2312" w:hAnsi="楷体_GB2312" w:eastAsia="楷体_GB2312" w:cs="楷体_GB2312"/>
          <w:sz w:val="24"/>
          <w:szCs w:val="24"/>
        </w:rPr>
        <w:t>号</w:t>
      </w:r>
    </w:p>
    <w:p w14:paraId="4316F99D">
      <w:pPr>
        <w:keepNext w:val="0"/>
        <w:keepLines w:val="0"/>
        <w:pageBreakBefore w:val="0"/>
        <w:widowControl w:val="0"/>
        <w:kinsoku/>
        <w:bidi w:val="0"/>
        <w:spacing w:line="400" w:lineRule="exact"/>
        <w:ind w:left="0" w:right="0" w:rightChars="0" w:firstLine="480" w:firstLineChars="200"/>
        <w:textAlignment w:val="auto"/>
        <w:rPr>
          <w:rFonts w:hint="eastAsia" w:ascii="仿宋_GB2312" w:hAnsi="仿宋_GB2312" w:eastAsia="仿宋_GB2312" w:cs="仿宋_GB2312"/>
          <w:sz w:val="24"/>
          <w:szCs w:val="24"/>
        </w:rPr>
      </w:pPr>
    </w:p>
    <w:p w14:paraId="004C2E5C">
      <w:pPr>
        <w:keepNext w:val="0"/>
        <w:keepLines w:val="0"/>
        <w:pageBreakBefore w:val="0"/>
        <w:widowControl w:val="0"/>
        <w:kinsoku/>
        <w:wordWrap/>
        <w:overflowPunct/>
        <w:topLinePunct w:val="0"/>
        <w:bidi w:val="0"/>
        <w:adjustRightInd/>
        <w:spacing w:line="400" w:lineRule="exact"/>
        <w:ind w:right="0" w:rightChars="0"/>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各镇（区、街道）人民政府（管委会、办事处），区委、区各行政执法部门（单位），各垂直管理行政执法部门（单位）：</w:t>
      </w:r>
    </w:p>
    <w:p w14:paraId="4E1FCE9C">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0"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snapToGrid w:val="0"/>
          <w:kern w:val="0"/>
          <w:sz w:val="24"/>
          <w:szCs w:val="24"/>
          <w:lang w:eastAsia="zh-CN"/>
        </w:rPr>
        <w:t>为深入学习贯彻习近平法治思想，以执法监督效能提升推进严格规范公正文明执法，打造更优法治化营商环境，根据《中共中央办公厅国务院办公厅关于加强行政执法协调监督工作体系建设的意见》《国务院办公厅关于严格规范涉企行政检查的意见》《江苏省行政执法监督办法》《省政府办公厅关于印发提升行政执法质量三年行动实施方案（2023—2025年）的通知》（以下简称省实施方案）等文件规定，结合《南通市</w:t>
      </w:r>
      <w:r>
        <w:rPr>
          <w:rFonts w:hint="eastAsia" w:ascii="仿宋_GB2312" w:hAnsi="仿宋_GB2312" w:eastAsia="仿宋_GB2312" w:cs="仿宋_GB2312"/>
          <w:snapToGrid w:val="0"/>
          <w:kern w:val="0"/>
          <w:sz w:val="24"/>
          <w:szCs w:val="24"/>
          <w:lang w:val="en-US" w:eastAsia="zh-CN"/>
        </w:rPr>
        <w:t>海门区</w:t>
      </w:r>
      <w:r>
        <w:rPr>
          <w:rFonts w:hint="eastAsia" w:ascii="仿宋_GB2312" w:hAnsi="仿宋_GB2312" w:eastAsia="仿宋_GB2312" w:cs="仿宋_GB2312"/>
          <w:snapToGrid w:val="0"/>
          <w:kern w:val="0"/>
          <w:sz w:val="24"/>
          <w:szCs w:val="24"/>
          <w:lang w:eastAsia="zh-CN"/>
        </w:rPr>
        <w:t>2025年“万事好通</w:t>
      </w:r>
      <w:r>
        <w:rPr>
          <w:rFonts w:hint="eastAsia" w:ascii="仿宋_GB2312" w:hAnsi="仿宋_GB2312" w:eastAsia="仿宋_GB2312" w:cs="仿宋_GB2312"/>
          <w:snapToGrid w:val="0"/>
          <w:kern w:val="0"/>
          <w:sz w:val="24"/>
          <w:szCs w:val="24"/>
          <w:lang w:val="en-US" w:eastAsia="zh-CN"/>
        </w:rPr>
        <w:t>·马上办</w:t>
      </w:r>
      <w:r>
        <w:rPr>
          <w:rFonts w:hint="eastAsia" w:ascii="仿宋_GB2312" w:hAnsi="仿宋_GB2312" w:eastAsia="仿宋_GB2312" w:cs="仿宋_GB2312"/>
          <w:snapToGrid w:val="0"/>
          <w:kern w:val="0"/>
          <w:sz w:val="24"/>
          <w:szCs w:val="24"/>
          <w:lang w:eastAsia="zh-CN"/>
        </w:rPr>
        <w:t>”营商环境提优举措》《</w:t>
      </w:r>
      <w:r>
        <w:rPr>
          <w:rFonts w:hint="eastAsia" w:ascii="仿宋_GB2312" w:hAnsi="仿宋_GB2312" w:eastAsia="仿宋_GB2312" w:cs="仿宋_GB2312"/>
          <w:snapToGrid w:val="0"/>
          <w:kern w:val="0"/>
          <w:sz w:val="24"/>
          <w:szCs w:val="24"/>
          <w:lang w:val="en-US" w:eastAsia="zh-CN"/>
        </w:rPr>
        <w:t>市</w:t>
      </w:r>
      <w:r>
        <w:rPr>
          <w:rFonts w:hint="eastAsia" w:ascii="仿宋_GB2312" w:hAnsi="仿宋_GB2312" w:eastAsia="仿宋_GB2312" w:cs="仿宋_GB2312"/>
          <w:snapToGrid w:val="0"/>
          <w:kern w:val="0"/>
          <w:sz w:val="24"/>
          <w:szCs w:val="24"/>
          <w:lang w:eastAsia="zh-CN"/>
        </w:rPr>
        <w:t>政府办公室关于印发南通市2025年度行政执法监督工作计划的通知》有关要求，</w:t>
      </w:r>
      <w:r>
        <w:rPr>
          <w:rFonts w:hint="eastAsia" w:ascii="仿宋_GB2312" w:hAnsi="仿宋_GB2312" w:eastAsia="仿宋_GB2312" w:cs="仿宋_GB2312"/>
          <w:snapToGrid w:val="0"/>
          <w:kern w:val="0"/>
          <w:sz w:val="24"/>
          <w:szCs w:val="24"/>
          <w:lang w:val="en-US" w:eastAsia="zh-CN"/>
        </w:rPr>
        <w:t>特</w:t>
      </w:r>
      <w:r>
        <w:rPr>
          <w:rFonts w:hint="eastAsia" w:ascii="仿宋_GB2312" w:hAnsi="仿宋_GB2312" w:eastAsia="仿宋_GB2312" w:cs="仿宋_GB2312"/>
          <w:snapToGrid w:val="0"/>
          <w:kern w:val="0"/>
          <w:sz w:val="24"/>
          <w:szCs w:val="24"/>
          <w:lang w:eastAsia="zh-CN"/>
        </w:rPr>
        <w:t>制定2025年度全</w:t>
      </w:r>
      <w:r>
        <w:rPr>
          <w:rFonts w:hint="eastAsia" w:ascii="仿宋_GB2312" w:hAnsi="仿宋_GB2312" w:eastAsia="仿宋_GB2312" w:cs="仿宋_GB2312"/>
          <w:snapToGrid w:val="0"/>
          <w:kern w:val="0"/>
          <w:sz w:val="24"/>
          <w:szCs w:val="24"/>
          <w:lang w:val="en-US" w:eastAsia="zh-CN"/>
        </w:rPr>
        <w:t>区</w:t>
      </w:r>
      <w:r>
        <w:rPr>
          <w:rFonts w:hint="eastAsia" w:ascii="仿宋_GB2312" w:hAnsi="仿宋_GB2312" w:eastAsia="仿宋_GB2312" w:cs="仿宋_GB2312"/>
          <w:snapToGrid w:val="0"/>
          <w:kern w:val="0"/>
          <w:sz w:val="24"/>
          <w:szCs w:val="24"/>
          <w:lang w:eastAsia="zh-CN"/>
        </w:rPr>
        <w:t>行政执法监督工作计划。</w:t>
      </w:r>
    </w:p>
    <w:p w14:paraId="064A4300">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0"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snapToGrid w:val="0"/>
          <w:kern w:val="0"/>
          <w:sz w:val="24"/>
          <w:szCs w:val="24"/>
          <w:lang w:eastAsia="zh-CN"/>
        </w:rPr>
        <w:t>一、监督重点和计划安排</w:t>
      </w:r>
    </w:p>
    <w:p w14:paraId="24427CE8">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0"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snapToGrid w:val="0"/>
          <w:kern w:val="0"/>
          <w:sz w:val="24"/>
          <w:szCs w:val="24"/>
          <w:lang w:eastAsia="zh-CN"/>
        </w:rPr>
        <w:t>（一）法治化营商环境提优方面</w:t>
      </w:r>
    </w:p>
    <w:p w14:paraId="02D81599">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2"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b/>
          <w:bCs/>
          <w:snapToGrid w:val="0"/>
          <w:kern w:val="0"/>
          <w:sz w:val="24"/>
          <w:szCs w:val="24"/>
          <w:lang w:eastAsia="zh-CN"/>
        </w:rPr>
        <w:t>1．对行政裁量权基准适用情况进行监督。</w:t>
      </w:r>
      <w:r>
        <w:rPr>
          <w:rFonts w:hint="eastAsia" w:ascii="仿宋_GB2312" w:hAnsi="仿宋_GB2312" w:eastAsia="仿宋_GB2312" w:cs="仿宋_GB2312"/>
          <w:snapToGrid w:val="0"/>
          <w:kern w:val="0"/>
          <w:sz w:val="24"/>
          <w:szCs w:val="24"/>
          <w:lang w:eastAsia="zh-CN"/>
        </w:rPr>
        <w:t>监督各</w:t>
      </w:r>
      <w:r>
        <w:rPr>
          <w:rFonts w:hint="eastAsia" w:ascii="仿宋_GB2312" w:hAnsi="仿宋_GB2312" w:eastAsia="仿宋_GB2312" w:cs="仿宋_GB2312"/>
          <w:snapToGrid w:val="0"/>
          <w:kern w:val="0"/>
          <w:sz w:val="24"/>
          <w:szCs w:val="24"/>
          <w:lang w:val="en-US" w:eastAsia="zh-CN"/>
        </w:rPr>
        <w:t>行政执法主体</w:t>
      </w:r>
      <w:r>
        <w:rPr>
          <w:rFonts w:hint="eastAsia" w:ascii="仿宋_GB2312" w:hAnsi="仿宋_GB2312" w:eastAsia="仿宋_GB2312" w:cs="仿宋_GB2312"/>
          <w:snapToGrid w:val="0"/>
          <w:kern w:val="0"/>
          <w:sz w:val="24"/>
          <w:szCs w:val="24"/>
          <w:lang w:eastAsia="zh-CN"/>
        </w:rPr>
        <w:t>落实过罚相当、处罚与教育相结合等原则情况，重点监督制定、优化和实施不予行政处罚、从轻减轻行政处罚和不予实施行政强制措施</w:t>
      </w:r>
      <w:r>
        <w:rPr>
          <w:rFonts w:hint="eastAsia" w:ascii="仿宋_GB2312" w:hAnsi="仿宋_GB2312" w:eastAsia="仿宋_GB2312" w:cs="仿宋_GB2312"/>
          <w:snapToGrid w:val="0"/>
          <w:kern w:val="0"/>
          <w:sz w:val="24"/>
          <w:szCs w:val="24"/>
          <w:lang w:val="en-US" w:eastAsia="zh-CN"/>
        </w:rPr>
        <w:t>清单</w:t>
      </w:r>
      <w:r>
        <w:rPr>
          <w:rFonts w:hint="eastAsia" w:ascii="仿宋_GB2312" w:hAnsi="仿宋_GB2312" w:eastAsia="仿宋_GB2312" w:cs="仿宋_GB2312"/>
          <w:snapToGrid w:val="0"/>
          <w:kern w:val="0"/>
          <w:sz w:val="24"/>
          <w:szCs w:val="24"/>
          <w:lang w:eastAsia="zh-CN"/>
        </w:rPr>
        <w:t>，以及生态环境、应急管理、市场监管等重点领域规范适用行政裁量权基准等情况。（季度监测）</w:t>
      </w:r>
    </w:p>
    <w:p w14:paraId="77ED4332">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2"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b/>
          <w:bCs/>
          <w:snapToGrid w:val="0"/>
          <w:kern w:val="0"/>
          <w:sz w:val="24"/>
          <w:szCs w:val="24"/>
          <w:lang w:eastAsia="zh-CN"/>
        </w:rPr>
        <w:t>2．对综合集成监管</w:t>
      </w:r>
      <w:r>
        <w:rPr>
          <w:rFonts w:hint="eastAsia" w:ascii="仿宋_GB2312" w:hAnsi="仿宋_GB2312" w:eastAsia="仿宋_GB2312" w:cs="仿宋_GB2312"/>
          <w:b/>
          <w:bCs/>
          <w:snapToGrid w:val="0"/>
          <w:kern w:val="0"/>
          <w:sz w:val="24"/>
          <w:szCs w:val="24"/>
          <w:lang w:val="en-US" w:eastAsia="zh-CN"/>
        </w:rPr>
        <w:t>暨“综合查一次”改革</w:t>
      </w:r>
      <w:r>
        <w:rPr>
          <w:rFonts w:hint="eastAsia" w:ascii="仿宋_GB2312" w:hAnsi="仿宋_GB2312" w:eastAsia="仿宋_GB2312" w:cs="仿宋_GB2312"/>
          <w:b/>
          <w:bCs/>
          <w:snapToGrid w:val="0"/>
          <w:kern w:val="0"/>
          <w:sz w:val="24"/>
          <w:szCs w:val="24"/>
          <w:lang w:eastAsia="zh-CN"/>
        </w:rPr>
        <w:t>推进落实情况进行监督。</w:t>
      </w:r>
      <w:r>
        <w:rPr>
          <w:rFonts w:hint="eastAsia" w:ascii="仿宋_GB2312" w:hAnsi="仿宋_GB2312" w:eastAsia="仿宋_GB2312" w:cs="仿宋_GB2312"/>
          <w:snapToGrid w:val="0"/>
          <w:kern w:val="0"/>
          <w:sz w:val="24"/>
          <w:szCs w:val="24"/>
          <w:lang w:eastAsia="zh-CN"/>
        </w:rPr>
        <w:t>监督各</w:t>
      </w:r>
      <w:r>
        <w:rPr>
          <w:rFonts w:hint="eastAsia" w:ascii="仿宋_GB2312" w:hAnsi="仿宋_GB2312" w:eastAsia="仿宋_GB2312" w:cs="仿宋_GB2312"/>
          <w:snapToGrid w:val="0"/>
          <w:kern w:val="0"/>
          <w:sz w:val="24"/>
          <w:szCs w:val="24"/>
          <w:lang w:val="en-US" w:eastAsia="zh-CN"/>
        </w:rPr>
        <w:t>行政执法主体</w:t>
      </w:r>
      <w:r>
        <w:rPr>
          <w:rFonts w:hint="eastAsia" w:ascii="仿宋_GB2312" w:hAnsi="仿宋_GB2312" w:eastAsia="仿宋_GB2312" w:cs="仿宋_GB2312"/>
          <w:snapToGrid w:val="0"/>
          <w:kern w:val="0"/>
          <w:sz w:val="24"/>
          <w:szCs w:val="24"/>
          <w:lang w:eastAsia="zh-CN"/>
        </w:rPr>
        <w:t>跨层级、跨区域、跨部门、跨业务监管事项整合实施情况，重点监督</w:t>
      </w:r>
      <w:r>
        <w:rPr>
          <w:rFonts w:hint="eastAsia" w:ascii="仿宋_GB2312" w:hAnsi="仿宋_GB2312" w:eastAsia="仿宋_GB2312" w:cs="仿宋_GB2312"/>
          <w:snapToGrid w:val="0"/>
          <w:kern w:val="0"/>
          <w:sz w:val="24"/>
          <w:szCs w:val="24"/>
          <w:lang w:val="en-US" w:eastAsia="zh-CN"/>
        </w:rPr>
        <w:t>“执法有度·企码无忧”行政执法监督码</w:t>
      </w:r>
      <w:r>
        <w:rPr>
          <w:rFonts w:hint="eastAsia" w:ascii="仿宋_GB2312" w:hAnsi="仿宋_GB2312" w:eastAsia="仿宋_GB2312" w:cs="仿宋_GB2312"/>
          <w:snapToGrid w:val="0"/>
          <w:kern w:val="0"/>
          <w:sz w:val="24"/>
          <w:szCs w:val="24"/>
          <w:lang w:eastAsia="zh-CN"/>
        </w:rPr>
        <w:t>日常使用，以及涉企</w:t>
      </w:r>
      <w:r>
        <w:rPr>
          <w:rFonts w:hint="eastAsia" w:ascii="仿宋_GB2312" w:hAnsi="仿宋_GB2312" w:eastAsia="仿宋_GB2312" w:cs="仿宋_GB2312"/>
          <w:snapToGrid w:val="0"/>
          <w:kern w:val="0"/>
          <w:sz w:val="24"/>
          <w:szCs w:val="24"/>
          <w:lang w:val="en-US" w:eastAsia="zh-CN"/>
        </w:rPr>
        <w:t>行政</w:t>
      </w:r>
      <w:r>
        <w:rPr>
          <w:rFonts w:hint="eastAsia" w:ascii="仿宋_GB2312" w:hAnsi="仿宋_GB2312" w:eastAsia="仿宋_GB2312" w:cs="仿宋_GB2312"/>
          <w:snapToGrid w:val="0"/>
          <w:kern w:val="0"/>
          <w:sz w:val="24"/>
          <w:szCs w:val="24"/>
          <w:lang w:eastAsia="zh-CN"/>
        </w:rPr>
        <w:t>检查（</w:t>
      </w:r>
      <w:r>
        <w:rPr>
          <w:rFonts w:hint="eastAsia" w:ascii="仿宋_GB2312" w:hAnsi="仿宋_GB2312" w:eastAsia="仿宋_GB2312" w:cs="仿宋_GB2312"/>
          <w:snapToGrid w:val="0"/>
          <w:kern w:val="0"/>
          <w:sz w:val="24"/>
          <w:szCs w:val="24"/>
          <w:lang w:val="en-US" w:eastAsia="zh-CN"/>
        </w:rPr>
        <w:t>联合检查</w:t>
      </w:r>
      <w:r>
        <w:rPr>
          <w:rFonts w:hint="eastAsia" w:ascii="仿宋_GB2312" w:hAnsi="仿宋_GB2312" w:eastAsia="仿宋_GB2312" w:cs="仿宋_GB2312"/>
          <w:snapToGrid w:val="0"/>
          <w:kern w:val="0"/>
          <w:sz w:val="24"/>
          <w:szCs w:val="24"/>
          <w:lang w:eastAsia="zh-CN"/>
        </w:rPr>
        <w:t>）计划</w:t>
      </w:r>
      <w:r>
        <w:rPr>
          <w:rFonts w:hint="eastAsia" w:ascii="仿宋_GB2312" w:hAnsi="仿宋_GB2312" w:eastAsia="仿宋_GB2312" w:cs="仿宋_GB2312"/>
          <w:snapToGrid w:val="0"/>
          <w:kern w:val="0"/>
          <w:sz w:val="24"/>
          <w:szCs w:val="24"/>
          <w:lang w:val="en-US" w:eastAsia="zh-CN"/>
        </w:rPr>
        <w:t>制定及</w:t>
      </w:r>
      <w:r>
        <w:rPr>
          <w:rFonts w:hint="eastAsia" w:ascii="仿宋_GB2312" w:hAnsi="仿宋_GB2312" w:eastAsia="仿宋_GB2312" w:cs="仿宋_GB2312"/>
          <w:snapToGrid w:val="0"/>
          <w:kern w:val="0"/>
          <w:sz w:val="24"/>
          <w:szCs w:val="24"/>
          <w:lang w:eastAsia="zh-CN"/>
        </w:rPr>
        <w:t>备案、入企检查</w:t>
      </w:r>
      <w:r>
        <w:rPr>
          <w:rFonts w:hint="eastAsia" w:ascii="仿宋_GB2312" w:hAnsi="仿宋_GB2312" w:eastAsia="仿宋_GB2312" w:cs="仿宋_GB2312"/>
          <w:snapToGrid w:val="0"/>
          <w:kern w:val="0"/>
          <w:sz w:val="24"/>
          <w:szCs w:val="24"/>
          <w:lang w:val="en-US" w:eastAsia="zh-CN"/>
        </w:rPr>
        <w:t>码上</w:t>
      </w:r>
      <w:r>
        <w:rPr>
          <w:rFonts w:hint="eastAsia" w:ascii="仿宋_GB2312" w:hAnsi="仿宋_GB2312" w:eastAsia="仿宋_GB2312" w:cs="仿宋_GB2312"/>
          <w:snapToGrid w:val="0"/>
          <w:kern w:val="0"/>
          <w:sz w:val="24"/>
          <w:szCs w:val="24"/>
          <w:lang w:eastAsia="zh-CN"/>
        </w:rPr>
        <w:t>预告、扫码入企、压减检查频次等情况。（月度监测，常态化收集典型案例和成效）</w:t>
      </w:r>
    </w:p>
    <w:p w14:paraId="5E56AF6B">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2"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b/>
          <w:bCs/>
          <w:snapToGrid w:val="0"/>
          <w:kern w:val="0"/>
          <w:sz w:val="24"/>
          <w:szCs w:val="24"/>
          <w:lang w:eastAsia="zh-CN"/>
        </w:rPr>
        <w:t>3．对规范涉企执法专项行动推进情况进行监督。</w:t>
      </w:r>
      <w:r>
        <w:rPr>
          <w:rFonts w:hint="eastAsia" w:ascii="仿宋_GB2312" w:hAnsi="仿宋_GB2312" w:eastAsia="仿宋_GB2312" w:cs="仿宋_GB2312"/>
          <w:snapToGrid w:val="0"/>
          <w:kern w:val="0"/>
          <w:sz w:val="24"/>
          <w:szCs w:val="24"/>
          <w:lang w:eastAsia="zh-CN"/>
        </w:rPr>
        <w:t>监督各行政执法</w:t>
      </w:r>
      <w:r>
        <w:rPr>
          <w:rFonts w:hint="eastAsia" w:ascii="仿宋_GB2312" w:hAnsi="仿宋_GB2312" w:eastAsia="仿宋_GB2312" w:cs="仿宋_GB2312"/>
          <w:snapToGrid w:val="0"/>
          <w:kern w:val="0"/>
          <w:sz w:val="24"/>
          <w:szCs w:val="24"/>
          <w:lang w:val="en-US" w:eastAsia="zh-CN"/>
        </w:rPr>
        <w:t>主体</w:t>
      </w:r>
      <w:r>
        <w:rPr>
          <w:rFonts w:hint="eastAsia" w:ascii="仿宋_GB2312" w:hAnsi="仿宋_GB2312" w:eastAsia="仿宋_GB2312" w:cs="仿宋_GB2312"/>
          <w:snapToGrid w:val="0"/>
          <w:kern w:val="0"/>
          <w:sz w:val="24"/>
          <w:szCs w:val="24"/>
          <w:lang w:eastAsia="zh-CN"/>
        </w:rPr>
        <w:t>重复检查、多头检查、随意检查等涉企行政检查突出问题整改情况，重点监督分级分类检查、联合检查、非现场执法、涉企执法案件经济影响评估、“邀约式”法治体检等新型执法机制推进实施情况。（月度监测，常态化收集典型案例和成效）</w:t>
      </w:r>
    </w:p>
    <w:p w14:paraId="1BB5968E">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0"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snapToGrid w:val="0"/>
          <w:kern w:val="0"/>
          <w:sz w:val="24"/>
          <w:szCs w:val="24"/>
          <w:lang w:eastAsia="zh-CN"/>
        </w:rPr>
        <w:t>（二）行政执法质量提升方面</w:t>
      </w:r>
    </w:p>
    <w:p w14:paraId="41A4931E">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2"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b/>
          <w:bCs/>
          <w:snapToGrid w:val="0"/>
          <w:kern w:val="0"/>
          <w:sz w:val="24"/>
          <w:szCs w:val="24"/>
          <w:lang w:eastAsia="zh-CN"/>
        </w:rPr>
        <w:t>4．对行政执法常态化培训机制落实情况进行监督。</w:t>
      </w:r>
      <w:r>
        <w:rPr>
          <w:rFonts w:hint="eastAsia" w:ascii="仿宋_GB2312" w:hAnsi="仿宋_GB2312" w:eastAsia="仿宋_GB2312" w:cs="仿宋_GB2312"/>
          <w:snapToGrid w:val="0"/>
          <w:kern w:val="0"/>
          <w:sz w:val="24"/>
          <w:szCs w:val="24"/>
          <w:lang w:eastAsia="zh-CN"/>
        </w:rPr>
        <w:t>监督各</w:t>
      </w:r>
      <w:r>
        <w:rPr>
          <w:rFonts w:hint="eastAsia" w:ascii="仿宋_GB2312" w:hAnsi="仿宋_GB2312" w:eastAsia="仿宋_GB2312" w:cs="仿宋_GB2312"/>
          <w:snapToGrid w:val="0"/>
          <w:kern w:val="0"/>
          <w:sz w:val="24"/>
          <w:szCs w:val="24"/>
          <w:lang w:val="en-US" w:eastAsia="zh-CN"/>
        </w:rPr>
        <w:t>镇（区、街道）</w:t>
      </w:r>
      <w:r>
        <w:rPr>
          <w:rFonts w:hint="eastAsia" w:ascii="仿宋_GB2312" w:hAnsi="仿宋_GB2312" w:eastAsia="仿宋_GB2312" w:cs="仿宋_GB2312"/>
          <w:snapToGrid w:val="0"/>
          <w:kern w:val="0"/>
          <w:sz w:val="24"/>
          <w:szCs w:val="24"/>
          <w:lang w:eastAsia="zh-CN"/>
        </w:rPr>
        <w:t>、各行政执法</w:t>
      </w:r>
      <w:r>
        <w:rPr>
          <w:rFonts w:hint="eastAsia" w:ascii="仿宋_GB2312" w:hAnsi="仿宋_GB2312" w:eastAsia="仿宋_GB2312" w:cs="仿宋_GB2312"/>
          <w:snapToGrid w:val="0"/>
          <w:kern w:val="0"/>
          <w:sz w:val="24"/>
          <w:szCs w:val="24"/>
          <w:lang w:val="en-US" w:eastAsia="zh-CN"/>
        </w:rPr>
        <w:t>部门</w:t>
      </w:r>
      <w:r>
        <w:rPr>
          <w:rFonts w:hint="eastAsia" w:ascii="仿宋_GB2312" w:hAnsi="仿宋_GB2312" w:eastAsia="仿宋_GB2312" w:cs="仿宋_GB2312"/>
          <w:snapToGrid w:val="0"/>
          <w:kern w:val="0"/>
          <w:sz w:val="24"/>
          <w:szCs w:val="24"/>
          <w:lang w:eastAsia="zh-CN"/>
        </w:rPr>
        <w:t>执行《行政执法及监督人员培训工作规范》（DB32/T4568-2024）情况，重点监督行政检查主体资格确认、行政执法人员资格管理以及年度执法培训计划制定实施等情况。（半年度监测）</w:t>
      </w:r>
    </w:p>
    <w:p w14:paraId="6991D234">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2"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b/>
          <w:bCs/>
          <w:snapToGrid w:val="0"/>
          <w:kern w:val="0"/>
          <w:sz w:val="24"/>
          <w:szCs w:val="24"/>
          <w:lang w:eastAsia="zh-CN"/>
        </w:rPr>
        <w:t>5．对行政执法案卷质量进行监督。</w:t>
      </w:r>
      <w:r>
        <w:rPr>
          <w:rFonts w:hint="eastAsia" w:ascii="仿宋_GB2312" w:hAnsi="仿宋_GB2312" w:eastAsia="仿宋_GB2312" w:cs="仿宋_GB2312"/>
          <w:snapToGrid w:val="0"/>
          <w:kern w:val="0"/>
          <w:sz w:val="24"/>
          <w:szCs w:val="24"/>
          <w:lang w:eastAsia="zh-CN"/>
        </w:rPr>
        <w:t>监督各</w:t>
      </w:r>
      <w:r>
        <w:rPr>
          <w:rFonts w:hint="eastAsia" w:ascii="仿宋_GB2312" w:hAnsi="仿宋_GB2312" w:eastAsia="仿宋_GB2312" w:cs="仿宋_GB2312"/>
          <w:snapToGrid w:val="0"/>
          <w:kern w:val="0"/>
          <w:sz w:val="24"/>
          <w:szCs w:val="24"/>
          <w:lang w:val="en-US" w:eastAsia="zh-CN"/>
        </w:rPr>
        <w:t>行政执法主体</w:t>
      </w:r>
      <w:r>
        <w:rPr>
          <w:rFonts w:hint="eastAsia" w:ascii="仿宋_GB2312" w:hAnsi="仿宋_GB2312" w:eastAsia="仿宋_GB2312" w:cs="仿宋_GB2312"/>
          <w:snapToGrid w:val="0"/>
          <w:kern w:val="0"/>
          <w:sz w:val="24"/>
          <w:szCs w:val="24"/>
          <w:lang w:eastAsia="zh-CN"/>
        </w:rPr>
        <w:t>执行《行政执法案卷制作及评查规范》（DB32/T4181-2021）情况，重点监督行政执法案卷制作管理、</w:t>
      </w:r>
      <w:r>
        <w:rPr>
          <w:rFonts w:hint="eastAsia" w:ascii="仿宋_GB2312" w:hAnsi="仿宋_GB2312" w:eastAsia="仿宋_GB2312" w:cs="仿宋_GB2312"/>
          <w:snapToGrid w:val="0"/>
          <w:kern w:val="0"/>
          <w:sz w:val="24"/>
          <w:szCs w:val="24"/>
          <w:lang w:val="en-US" w:eastAsia="zh-CN"/>
        </w:rPr>
        <w:t>内部</w:t>
      </w:r>
      <w:r>
        <w:rPr>
          <w:rFonts w:hint="eastAsia" w:ascii="仿宋_GB2312" w:hAnsi="仿宋_GB2312" w:eastAsia="仿宋_GB2312" w:cs="仿宋_GB2312"/>
          <w:snapToGrid w:val="0"/>
          <w:kern w:val="0"/>
          <w:sz w:val="24"/>
          <w:szCs w:val="24"/>
          <w:lang w:eastAsia="zh-CN"/>
        </w:rPr>
        <w:t>常态化评查以及问题整改等情况。</w:t>
      </w:r>
      <w:r>
        <w:rPr>
          <w:rFonts w:hint="eastAsia" w:ascii="仿宋_GB2312" w:hAnsi="仿宋_GB2312" w:eastAsia="仿宋_GB2312" w:cs="仿宋_GB2312"/>
          <w:snapToGrid w:val="0"/>
          <w:kern w:val="0"/>
          <w:sz w:val="24"/>
          <w:szCs w:val="24"/>
          <w:lang w:val="en-US" w:eastAsia="zh-CN"/>
        </w:rPr>
        <w:t>各镇（区、街道）、各行政执法部门</w:t>
      </w:r>
      <w:r>
        <w:rPr>
          <w:rFonts w:hint="eastAsia" w:ascii="仿宋_GB2312" w:hAnsi="仿宋_GB2312" w:eastAsia="仿宋_GB2312" w:cs="仿宋_GB2312"/>
          <w:snapToGrid w:val="0"/>
          <w:kern w:val="0"/>
          <w:sz w:val="24"/>
          <w:szCs w:val="24"/>
          <w:lang w:eastAsia="zh-CN"/>
        </w:rPr>
        <w:t>年内至少组织开展1—2次全类别行政执法案卷自查，自查情况及时抄送</w:t>
      </w:r>
      <w:r>
        <w:rPr>
          <w:rFonts w:hint="eastAsia" w:ascii="仿宋_GB2312" w:hAnsi="仿宋_GB2312" w:eastAsia="仿宋_GB2312" w:cs="仿宋_GB2312"/>
          <w:snapToGrid w:val="0"/>
          <w:kern w:val="0"/>
          <w:sz w:val="24"/>
          <w:szCs w:val="24"/>
          <w:lang w:val="en-US" w:eastAsia="zh-CN"/>
        </w:rPr>
        <w:t>区</w:t>
      </w:r>
      <w:r>
        <w:rPr>
          <w:rFonts w:hint="eastAsia" w:ascii="仿宋_GB2312" w:hAnsi="仿宋_GB2312" w:eastAsia="仿宋_GB2312" w:cs="仿宋_GB2312"/>
          <w:snapToGrid w:val="0"/>
          <w:kern w:val="0"/>
          <w:sz w:val="24"/>
          <w:szCs w:val="24"/>
          <w:lang w:eastAsia="zh-CN"/>
        </w:rPr>
        <w:t>司法局。</w:t>
      </w:r>
      <w:r>
        <w:rPr>
          <w:rFonts w:hint="eastAsia" w:ascii="仿宋_GB2312" w:hAnsi="仿宋_GB2312" w:eastAsia="仿宋_GB2312" w:cs="仿宋_GB2312"/>
          <w:snapToGrid w:val="0"/>
          <w:kern w:val="0"/>
          <w:sz w:val="24"/>
          <w:szCs w:val="24"/>
          <w:lang w:val="en-US" w:eastAsia="zh-CN"/>
        </w:rPr>
        <w:t>区</w:t>
      </w:r>
      <w:r>
        <w:rPr>
          <w:rFonts w:hint="eastAsia" w:ascii="仿宋_GB2312" w:hAnsi="仿宋_GB2312" w:eastAsia="仿宋_GB2312" w:cs="仿宋_GB2312"/>
          <w:snapToGrid w:val="0"/>
          <w:kern w:val="0"/>
          <w:sz w:val="24"/>
          <w:szCs w:val="24"/>
          <w:lang w:eastAsia="zh-CN"/>
        </w:rPr>
        <w:t>司法局对重点领域开展执法案卷评查。（三季度前完成）</w:t>
      </w:r>
    </w:p>
    <w:p w14:paraId="3A6FD4FF">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2"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b/>
          <w:bCs/>
          <w:snapToGrid w:val="0"/>
          <w:kern w:val="0"/>
          <w:sz w:val="24"/>
          <w:szCs w:val="24"/>
          <w:lang w:eastAsia="zh-CN"/>
        </w:rPr>
        <w:t>6．对行政执法工作体系有关情况进行监督。</w:t>
      </w:r>
      <w:r>
        <w:rPr>
          <w:rFonts w:hint="eastAsia" w:ascii="仿宋_GB2312" w:hAnsi="仿宋_GB2312" w:eastAsia="仿宋_GB2312" w:cs="仿宋_GB2312"/>
          <w:snapToGrid w:val="0"/>
          <w:kern w:val="0"/>
          <w:sz w:val="24"/>
          <w:szCs w:val="24"/>
          <w:lang w:eastAsia="zh-CN"/>
        </w:rPr>
        <w:t>监督各行政执法</w:t>
      </w:r>
      <w:r>
        <w:rPr>
          <w:rFonts w:hint="eastAsia" w:ascii="仿宋_GB2312" w:hAnsi="仿宋_GB2312" w:eastAsia="仿宋_GB2312" w:cs="仿宋_GB2312"/>
          <w:snapToGrid w:val="0"/>
          <w:kern w:val="0"/>
          <w:sz w:val="24"/>
          <w:szCs w:val="24"/>
          <w:lang w:val="en-US" w:eastAsia="zh-CN"/>
        </w:rPr>
        <w:t>主体</w:t>
      </w:r>
      <w:r>
        <w:rPr>
          <w:rFonts w:hint="eastAsia" w:ascii="仿宋_GB2312" w:hAnsi="仿宋_GB2312" w:eastAsia="仿宋_GB2312" w:cs="仿宋_GB2312"/>
          <w:snapToGrid w:val="0"/>
          <w:kern w:val="0"/>
          <w:sz w:val="24"/>
          <w:szCs w:val="24"/>
          <w:lang w:eastAsia="zh-CN"/>
        </w:rPr>
        <w:t>行政执法“三项制度”、深化综合行政执法改革配套任务落实情况，重点监督</w:t>
      </w:r>
      <w:r>
        <w:rPr>
          <w:rFonts w:hint="eastAsia" w:ascii="仿宋_GB2312" w:hAnsi="仿宋_GB2312" w:eastAsia="仿宋_GB2312" w:cs="仿宋_GB2312"/>
          <w:snapToGrid w:val="0"/>
          <w:kern w:val="0"/>
          <w:sz w:val="24"/>
          <w:szCs w:val="24"/>
          <w:lang w:val="en-US" w:eastAsia="zh-CN"/>
        </w:rPr>
        <w:t>行政执法事项清单运行以及区收回镇（街道）</w:t>
      </w:r>
      <w:r>
        <w:rPr>
          <w:rFonts w:hint="eastAsia" w:ascii="仿宋_GB2312" w:hAnsi="仿宋_GB2312" w:eastAsia="仿宋_GB2312" w:cs="仿宋_GB2312"/>
          <w:snapToGrid w:val="0"/>
          <w:kern w:val="0"/>
          <w:sz w:val="24"/>
          <w:szCs w:val="24"/>
          <w:lang w:eastAsia="zh-CN"/>
        </w:rPr>
        <w:t>行政处罚赋权事项清单制定、</w:t>
      </w:r>
      <w:r>
        <w:rPr>
          <w:rFonts w:hint="eastAsia" w:ascii="仿宋_GB2312" w:hAnsi="仿宋_GB2312" w:eastAsia="仿宋_GB2312" w:cs="仿宋_GB2312"/>
          <w:snapToGrid w:val="0"/>
          <w:kern w:val="0"/>
          <w:sz w:val="24"/>
          <w:szCs w:val="24"/>
          <w:lang w:val="en-US" w:eastAsia="zh-CN"/>
        </w:rPr>
        <w:t>交接、</w:t>
      </w:r>
      <w:r>
        <w:rPr>
          <w:rFonts w:hint="eastAsia" w:ascii="仿宋_GB2312" w:hAnsi="仿宋_GB2312" w:eastAsia="仿宋_GB2312" w:cs="仿宋_GB2312"/>
          <w:snapToGrid w:val="0"/>
          <w:kern w:val="0"/>
          <w:sz w:val="24"/>
          <w:szCs w:val="24"/>
          <w:lang w:eastAsia="zh-CN"/>
        </w:rPr>
        <w:t>实施等情况。（季度监测）</w:t>
      </w:r>
    </w:p>
    <w:p w14:paraId="7A6556DF">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2"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b/>
          <w:bCs/>
          <w:snapToGrid w:val="0"/>
          <w:kern w:val="0"/>
          <w:sz w:val="24"/>
          <w:szCs w:val="24"/>
          <w:lang w:eastAsia="zh-CN"/>
        </w:rPr>
        <w:t>7．对提升行政执法质量三年行动实施情况进行终期评估。</w:t>
      </w:r>
      <w:r>
        <w:rPr>
          <w:rFonts w:hint="eastAsia" w:ascii="仿宋_GB2312" w:hAnsi="仿宋_GB2312" w:eastAsia="仿宋_GB2312" w:cs="仿宋_GB2312"/>
          <w:snapToGrid w:val="0"/>
          <w:kern w:val="0"/>
          <w:sz w:val="24"/>
          <w:szCs w:val="24"/>
          <w:lang w:eastAsia="zh-CN"/>
        </w:rPr>
        <w:t>评估各</w:t>
      </w:r>
      <w:r>
        <w:rPr>
          <w:rFonts w:hint="eastAsia" w:ascii="仿宋_GB2312" w:hAnsi="仿宋_GB2312" w:eastAsia="仿宋_GB2312" w:cs="仿宋_GB2312"/>
          <w:snapToGrid w:val="0"/>
          <w:kern w:val="0"/>
          <w:sz w:val="24"/>
          <w:szCs w:val="24"/>
          <w:lang w:val="en-US" w:eastAsia="zh-CN"/>
        </w:rPr>
        <w:t>镇（区、街道）、各行政执法部门（单位）</w:t>
      </w:r>
      <w:r>
        <w:rPr>
          <w:rFonts w:hint="eastAsia" w:ascii="仿宋_GB2312" w:hAnsi="仿宋_GB2312" w:eastAsia="仿宋_GB2312" w:cs="仿宋_GB2312"/>
          <w:snapToGrid w:val="0"/>
          <w:kern w:val="0"/>
          <w:sz w:val="24"/>
          <w:szCs w:val="24"/>
          <w:lang w:eastAsia="zh-CN"/>
        </w:rPr>
        <w:t>对国务院办公厅《提升行政执法质量三年行动计划（2023—2025年）》及省实施方案工作任务推进落实情况，重点评估推进力度、完成进度和工作质效。（10月底前完成）</w:t>
      </w:r>
    </w:p>
    <w:p w14:paraId="12F3093C">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0"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snapToGrid w:val="0"/>
          <w:kern w:val="0"/>
          <w:sz w:val="24"/>
          <w:szCs w:val="24"/>
          <w:lang w:eastAsia="zh-CN"/>
        </w:rPr>
        <w:t>（三）行政执法监督提效方面</w:t>
      </w:r>
    </w:p>
    <w:p w14:paraId="485BB577">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2"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b/>
          <w:bCs/>
          <w:snapToGrid w:val="0"/>
          <w:kern w:val="0"/>
          <w:sz w:val="24"/>
          <w:szCs w:val="24"/>
          <w:lang w:eastAsia="zh-CN"/>
        </w:rPr>
        <w:t>8．对行政执法监督职责履行情况进行监督。</w:t>
      </w:r>
      <w:r>
        <w:rPr>
          <w:rFonts w:hint="eastAsia" w:ascii="仿宋_GB2312" w:hAnsi="仿宋_GB2312" w:eastAsia="仿宋_GB2312" w:cs="仿宋_GB2312"/>
          <w:snapToGrid w:val="0"/>
          <w:kern w:val="0"/>
          <w:sz w:val="24"/>
          <w:szCs w:val="24"/>
          <w:lang w:eastAsia="zh-CN"/>
        </w:rPr>
        <w:t>监督</w:t>
      </w:r>
      <w:r>
        <w:rPr>
          <w:rFonts w:hint="eastAsia" w:ascii="仿宋_GB2312" w:hAnsi="仿宋_GB2312" w:eastAsia="仿宋_GB2312" w:cs="仿宋_GB2312"/>
          <w:snapToGrid w:val="0"/>
          <w:kern w:val="0"/>
          <w:sz w:val="24"/>
          <w:szCs w:val="24"/>
          <w:lang w:val="en-US" w:eastAsia="zh-CN"/>
        </w:rPr>
        <w:t>各镇（区、街道）、有关重点行政执法部门</w:t>
      </w:r>
      <w:r>
        <w:rPr>
          <w:rFonts w:hint="eastAsia" w:ascii="仿宋_GB2312" w:hAnsi="仿宋_GB2312" w:eastAsia="仿宋_GB2312" w:cs="仿宋_GB2312"/>
          <w:snapToGrid w:val="0"/>
          <w:kern w:val="0"/>
          <w:sz w:val="24"/>
          <w:szCs w:val="24"/>
          <w:lang w:eastAsia="zh-CN"/>
        </w:rPr>
        <w:t>按要求明确执法监督机构、配备人员、履行执法监督职责等情况。（常态化监测）</w:t>
      </w:r>
    </w:p>
    <w:p w14:paraId="3AC06873">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2"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b/>
          <w:bCs/>
          <w:snapToGrid w:val="0"/>
          <w:kern w:val="0"/>
          <w:sz w:val="24"/>
          <w:szCs w:val="24"/>
          <w:lang w:eastAsia="zh-CN"/>
        </w:rPr>
        <w:t>9．对行政执法信息化建设情况进行监督。</w:t>
      </w:r>
      <w:r>
        <w:rPr>
          <w:rFonts w:hint="eastAsia" w:ascii="仿宋_GB2312" w:hAnsi="仿宋_GB2312" w:eastAsia="仿宋_GB2312" w:cs="仿宋_GB2312"/>
          <w:snapToGrid w:val="0"/>
          <w:kern w:val="0"/>
          <w:sz w:val="24"/>
          <w:szCs w:val="24"/>
          <w:lang w:eastAsia="zh-CN"/>
        </w:rPr>
        <w:t>监督</w:t>
      </w:r>
      <w:r>
        <w:rPr>
          <w:rFonts w:hint="eastAsia" w:ascii="仿宋_GB2312" w:hAnsi="仿宋_GB2312" w:eastAsia="仿宋_GB2312" w:cs="仿宋_GB2312"/>
          <w:snapToGrid w:val="0"/>
          <w:kern w:val="0"/>
          <w:sz w:val="24"/>
          <w:szCs w:val="24"/>
          <w:lang w:val="en-US" w:eastAsia="zh-CN"/>
        </w:rPr>
        <w:t>各镇（区、街道）、各行政执法部门（单位）</w:t>
      </w:r>
      <w:r>
        <w:rPr>
          <w:rFonts w:hint="eastAsia" w:ascii="仿宋_GB2312" w:hAnsi="仿宋_GB2312" w:eastAsia="仿宋_GB2312" w:cs="仿宋_GB2312"/>
          <w:snapToGrid w:val="0"/>
          <w:kern w:val="0"/>
          <w:sz w:val="24"/>
          <w:szCs w:val="24"/>
          <w:lang w:eastAsia="zh-CN"/>
        </w:rPr>
        <w:t>落实重大执法决定网上备案、执法统计年报制度，以及行政执法数据推送或录入行政执法监督平台、</w:t>
      </w:r>
      <w:r>
        <w:rPr>
          <w:rFonts w:hint="eastAsia" w:ascii="仿宋_GB2312" w:hAnsi="仿宋_GB2312" w:eastAsia="仿宋_GB2312" w:cs="仿宋_GB2312"/>
          <w:snapToGrid w:val="0"/>
          <w:kern w:val="0"/>
          <w:sz w:val="24"/>
          <w:szCs w:val="24"/>
          <w:lang w:val="en-US" w:eastAsia="zh-CN"/>
        </w:rPr>
        <w:t>“执法有度·企码无忧”行政执法监督码</w:t>
      </w:r>
      <w:r>
        <w:rPr>
          <w:rFonts w:hint="eastAsia" w:ascii="仿宋_GB2312" w:hAnsi="仿宋_GB2312" w:eastAsia="仿宋_GB2312" w:cs="仿宋_GB2312"/>
          <w:snapToGrid w:val="0"/>
          <w:kern w:val="0"/>
          <w:sz w:val="24"/>
          <w:szCs w:val="24"/>
          <w:lang w:eastAsia="zh-CN"/>
        </w:rPr>
        <w:t>等情况。（常态化监测）</w:t>
      </w:r>
    </w:p>
    <w:p w14:paraId="5A951621">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2"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b/>
          <w:bCs/>
          <w:snapToGrid w:val="0"/>
          <w:kern w:val="0"/>
          <w:sz w:val="24"/>
          <w:szCs w:val="24"/>
          <w:lang w:eastAsia="zh-CN"/>
        </w:rPr>
        <w:t>10．对执法监督结果运用情况进行监督。</w:t>
      </w:r>
      <w:r>
        <w:rPr>
          <w:rFonts w:hint="eastAsia" w:ascii="仿宋_GB2312" w:hAnsi="仿宋_GB2312" w:eastAsia="仿宋_GB2312" w:cs="仿宋_GB2312"/>
          <w:snapToGrid w:val="0"/>
          <w:kern w:val="0"/>
          <w:sz w:val="24"/>
          <w:szCs w:val="24"/>
          <w:lang w:eastAsia="zh-CN"/>
        </w:rPr>
        <w:t>重点监督</w:t>
      </w:r>
      <w:r>
        <w:rPr>
          <w:rFonts w:hint="eastAsia" w:ascii="仿宋_GB2312" w:hAnsi="仿宋_GB2312" w:eastAsia="仿宋_GB2312" w:cs="仿宋_GB2312"/>
          <w:snapToGrid w:val="0"/>
          <w:kern w:val="0"/>
          <w:sz w:val="24"/>
          <w:szCs w:val="24"/>
          <w:lang w:val="en-US" w:eastAsia="zh-CN"/>
        </w:rPr>
        <w:t>各镇（区、街道）、各行政执法部门（单位）</w:t>
      </w:r>
      <w:r>
        <w:rPr>
          <w:rFonts w:hint="eastAsia" w:ascii="仿宋_GB2312" w:hAnsi="仿宋_GB2312" w:eastAsia="仿宋_GB2312" w:cs="仿宋_GB2312"/>
          <w:snapToGrid w:val="0"/>
          <w:kern w:val="0"/>
          <w:sz w:val="24"/>
          <w:szCs w:val="24"/>
          <w:lang w:eastAsia="zh-CN"/>
        </w:rPr>
        <w:t>对民生领域热点执法事件、有重大影响的执法事件、重复发生的类型化执法事件以及造成严重后果的执法事件监督处理情况。（常态化监测）</w:t>
      </w:r>
    </w:p>
    <w:p w14:paraId="1AA154DF">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0"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snapToGrid w:val="0"/>
          <w:kern w:val="0"/>
          <w:sz w:val="24"/>
          <w:szCs w:val="24"/>
          <w:lang w:eastAsia="zh-CN"/>
        </w:rPr>
        <w:t>二、监督方式</w:t>
      </w:r>
    </w:p>
    <w:p w14:paraId="7BF0E712">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0"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snapToGrid w:val="0"/>
          <w:kern w:val="0"/>
          <w:sz w:val="24"/>
          <w:szCs w:val="24"/>
          <w:lang w:eastAsia="zh-CN"/>
        </w:rPr>
        <w:t>行政执法监督采取听取情况报告、查阅资料、召开座谈会、明察暗访、问卷调查、案卷评查、执法评议等方式进行。</w:t>
      </w:r>
    </w:p>
    <w:p w14:paraId="315697B5">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0"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snapToGrid w:val="0"/>
          <w:kern w:val="0"/>
          <w:sz w:val="24"/>
          <w:szCs w:val="24"/>
          <w:lang w:eastAsia="zh-CN"/>
        </w:rPr>
        <w:t>三、其他要求</w:t>
      </w:r>
    </w:p>
    <w:p w14:paraId="037D5689">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0"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snapToGrid w:val="0"/>
          <w:kern w:val="0"/>
          <w:sz w:val="24"/>
          <w:szCs w:val="24"/>
          <w:lang w:eastAsia="zh-CN"/>
        </w:rPr>
        <w:t>1．各</w:t>
      </w:r>
      <w:r>
        <w:rPr>
          <w:rFonts w:hint="eastAsia" w:ascii="仿宋_GB2312" w:hAnsi="仿宋_GB2312" w:eastAsia="仿宋_GB2312" w:cs="仿宋_GB2312"/>
          <w:snapToGrid w:val="0"/>
          <w:kern w:val="0"/>
          <w:sz w:val="24"/>
          <w:szCs w:val="24"/>
          <w:lang w:val="en-US" w:eastAsia="zh-CN"/>
        </w:rPr>
        <w:t>镇（区、街道）、有关重点行政执法部门</w:t>
      </w:r>
      <w:r>
        <w:rPr>
          <w:rFonts w:hint="eastAsia" w:ascii="仿宋_GB2312" w:hAnsi="仿宋_GB2312" w:eastAsia="仿宋_GB2312" w:cs="仿宋_GB2312"/>
          <w:snapToGrid w:val="0"/>
          <w:kern w:val="0"/>
          <w:sz w:val="24"/>
          <w:szCs w:val="24"/>
          <w:lang w:eastAsia="zh-CN"/>
        </w:rPr>
        <w:t>应当制定本地区、本领域年度行政执法监督工作计划，并切实加强对本地区、本领域行政执法工作的监督指导。</w:t>
      </w:r>
    </w:p>
    <w:p w14:paraId="247272B4">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0" w:firstLineChars="200"/>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snapToGrid w:val="0"/>
          <w:kern w:val="0"/>
          <w:sz w:val="24"/>
          <w:szCs w:val="24"/>
          <w:lang w:eastAsia="zh-CN"/>
        </w:rPr>
        <w:t>2．</w:t>
      </w:r>
      <w:r>
        <w:rPr>
          <w:rFonts w:hint="eastAsia" w:ascii="仿宋_GB2312" w:hAnsi="仿宋_GB2312" w:eastAsia="仿宋_GB2312" w:cs="仿宋_GB2312"/>
          <w:snapToGrid w:val="0"/>
          <w:kern w:val="0"/>
          <w:sz w:val="24"/>
          <w:szCs w:val="24"/>
          <w:lang w:val="en-US" w:eastAsia="zh-CN"/>
        </w:rPr>
        <w:t>区司法局</w:t>
      </w:r>
      <w:r>
        <w:rPr>
          <w:rFonts w:hint="eastAsia" w:ascii="仿宋_GB2312" w:hAnsi="仿宋_GB2312" w:eastAsia="仿宋_GB2312" w:cs="仿宋_GB2312"/>
          <w:snapToGrid w:val="0"/>
          <w:kern w:val="0"/>
          <w:sz w:val="24"/>
          <w:szCs w:val="24"/>
          <w:lang w:eastAsia="zh-CN"/>
        </w:rPr>
        <w:t>对行政执法监督发现的问题，应当制发行政执法监督督办函、意见书或决定书等监督文书。</w:t>
      </w:r>
      <w:r>
        <w:rPr>
          <w:rFonts w:hint="eastAsia" w:ascii="仿宋_GB2312" w:hAnsi="仿宋_GB2312" w:eastAsia="仿宋_GB2312" w:cs="仿宋_GB2312"/>
          <w:snapToGrid w:val="0"/>
          <w:kern w:val="0"/>
          <w:sz w:val="24"/>
          <w:szCs w:val="24"/>
          <w:lang w:val="en-US" w:eastAsia="zh-CN"/>
        </w:rPr>
        <w:t>相</w:t>
      </w:r>
      <w:r>
        <w:rPr>
          <w:rFonts w:hint="eastAsia" w:ascii="仿宋_GB2312" w:hAnsi="仿宋_GB2312" w:eastAsia="仿宋_GB2312" w:cs="仿宋_GB2312"/>
          <w:snapToGrid w:val="0"/>
          <w:kern w:val="0"/>
          <w:sz w:val="24"/>
          <w:szCs w:val="24"/>
          <w:lang w:eastAsia="zh-CN"/>
        </w:rPr>
        <w:t>关单位应当在收到监督文书之日起60日内，书面报告整改落实情况。</w:t>
      </w:r>
      <w:r>
        <w:rPr>
          <w:rFonts w:hint="eastAsia" w:ascii="仿宋_GB2312" w:hAnsi="仿宋_GB2312" w:eastAsia="仿宋_GB2312" w:cs="仿宋_GB2312"/>
          <w:snapToGrid w:val="0"/>
          <w:kern w:val="0"/>
          <w:sz w:val="24"/>
          <w:szCs w:val="24"/>
          <w:lang w:val="en-US" w:eastAsia="zh-CN"/>
        </w:rPr>
        <w:t>区</w:t>
      </w:r>
      <w:r>
        <w:rPr>
          <w:rFonts w:hint="eastAsia" w:ascii="仿宋_GB2312" w:hAnsi="仿宋_GB2312" w:eastAsia="仿宋_GB2312" w:cs="仿宋_GB2312"/>
          <w:snapToGrid w:val="0"/>
          <w:kern w:val="0"/>
          <w:sz w:val="24"/>
          <w:szCs w:val="24"/>
          <w:lang w:eastAsia="zh-CN"/>
        </w:rPr>
        <w:t>司法局要及时汇总各</w:t>
      </w:r>
      <w:r>
        <w:rPr>
          <w:rFonts w:hint="eastAsia" w:ascii="仿宋_GB2312" w:hAnsi="仿宋_GB2312" w:eastAsia="仿宋_GB2312" w:cs="仿宋_GB2312"/>
          <w:snapToGrid w:val="0"/>
          <w:kern w:val="0"/>
          <w:sz w:val="24"/>
          <w:szCs w:val="24"/>
          <w:lang w:val="en-US" w:eastAsia="zh-CN"/>
        </w:rPr>
        <w:t>镇（区、街道）</w:t>
      </w:r>
      <w:r>
        <w:rPr>
          <w:rFonts w:hint="eastAsia" w:ascii="仿宋_GB2312" w:hAnsi="仿宋_GB2312" w:eastAsia="仿宋_GB2312" w:cs="仿宋_GB2312"/>
          <w:snapToGrid w:val="0"/>
          <w:kern w:val="0"/>
          <w:sz w:val="24"/>
          <w:szCs w:val="24"/>
          <w:lang w:eastAsia="zh-CN"/>
        </w:rPr>
        <w:t>、各</w:t>
      </w:r>
      <w:r>
        <w:rPr>
          <w:rFonts w:hint="eastAsia" w:ascii="仿宋_GB2312" w:hAnsi="仿宋_GB2312" w:eastAsia="仿宋_GB2312" w:cs="仿宋_GB2312"/>
          <w:snapToGrid w:val="0"/>
          <w:kern w:val="0"/>
          <w:sz w:val="24"/>
          <w:szCs w:val="24"/>
          <w:lang w:val="en-US" w:eastAsia="zh-CN"/>
        </w:rPr>
        <w:t>行政执法</w:t>
      </w:r>
      <w:r>
        <w:rPr>
          <w:rFonts w:hint="eastAsia" w:ascii="仿宋_GB2312" w:hAnsi="仿宋_GB2312" w:eastAsia="仿宋_GB2312" w:cs="仿宋_GB2312"/>
          <w:snapToGrid w:val="0"/>
          <w:kern w:val="0"/>
          <w:sz w:val="24"/>
          <w:szCs w:val="24"/>
          <w:lang w:eastAsia="zh-CN"/>
        </w:rPr>
        <w:t>部门监督情况，重大问题及时向</w:t>
      </w:r>
      <w:r>
        <w:rPr>
          <w:rFonts w:hint="eastAsia" w:ascii="仿宋_GB2312" w:hAnsi="仿宋_GB2312" w:eastAsia="仿宋_GB2312" w:cs="仿宋_GB2312"/>
          <w:snapToGrid w:val="0"/>
          <w:kern w:val="0"/>
          <w:sz w:val="24"/>
          <w:szCs w:val="24"/>
          <w:lang w:val="en-US" w:eastAsia="zh-CN"/>
        </w:rPr>
        <w:t>区</w:t>
      </w:r>
      <w:r>
        <w:rPr>
          <w:rFonts w:hint="eastAsia" w:ascii="仿宋_GB2312" w:hAnsi="仿宋_GB2312" w:eastAsia="仿宋_GB2312" w:cs="仿宋_GB2312"/>
          <w:snapToGrid w:val="0"/>
          <w:kern w:val="0"/>
          <w:sz w:val="24"/>
          <w:szCs w:val="24"/>
          <w:lang w:eastAsia="zh-CN"/>
        </w:rPr>
        <w:t>政府报告。</w:t>
      </w:r>
    </w:p>
    <w:p w14:paraId="0247303E">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0" w:firstLineChars="200"/>
        <w:textAlignment w:val="auto"/>
        <w:rPr>
          <w:rFonts w:hint="eastAsia" w:ascii="仿宋_GB2312" w:hAnsi="仿宋_GB2312" w:eastAsia="仿宋_GB2312" w:cs="仿宋_GB2312"/>
          <w:snapToGrid w:val="0"/>
          <w:kern w:val="0"/>
          <w:sz w:val="24"/>
          <w:szCs w:val="24"/>
          <w:lang w:eastAsia="zh-CN"/>
        </w:rPr>
      </w:pPr>
    </w:p>
    <w:p w14:paraId="0F6AFA85">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0" w:firstLineChars="200"/>
        <w:textAlignment w:val="auto"/>
        <w:rPr>
          <w:rFonts w:hint="eastAsia" w:ascii="仿宋_GB2312" w:hAnsi="仿宋_GB2312" w:eastAsia="仿宋_GB2312" w:cs="仿宋_GB2312"/>
          <w:snapToGrid w:val="0"/>
          <w:kern w:val="0"/>
          <w:sz w:val="24"/>
          <w:szCs w:val="24"/>
          <w:lang w:eastAsia="zh-CN"/>
        </w:rPr>
      </w:pPr>
    </w:p>
    <w:p w14:paraId="3966365F">
      <w:pPr>
        <w:keepNext w:val="0"/>
        <w:keepLines w:val="0"/>
        <w:pageBreakBefore w:val="0"/>
        <w:widowControl w:val="0"/>
        <w:kinsoku/>
        <w:wordWrap/>
        <w:overflowPunct/>
        <w:topLinePunct w:val="0"/>
        <w:autoSpaceDE/>
        <w:autoSpaceDN/>
        <w:bidi w:val="0"/>
        <w:adjustRightInd/>
        <w:snapToGrid w:val="0"/>
        <w:spacing w:line="400" w:lineRule="exact"/>
        <w:ind w:right="0" w:rightChars="0"/>
        <w:jc w:val="right"/>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snapToGrid w:val="0"/>
          <w:kern w:val="0"/>
          <w:sz w:val="24"/>
          <w:szCs w:val="24"/>
          <w:lang w:eastAsia="zh-CN"/>
        </w:rPr>
        <w:t>南通市</w:t>
      </w:r>
      <w:r>
        <w:rPr>
          <w:rFonts w:hint="eastAsia" w:ascii="仿宋_GB2312" w:hAnsi="仿宋_GB2312" w:eastAsia="仿宋_GB2312" w:cs="仿宋_GB2312"/>
          <w:snapToGrid w:val="0"/>
          <w:kern w:val="0"/>
          <w:sz w:val="24"/>
          <w:szCs w:val="24"/>
          <w:lang w:val="en-US" w:eastAsia="zh-CN"/>
        </w:rPr>
        <w:t>海门区</w:t>
      </w:r>
      <w:r>
        <w:rPr>
          <w:rFonts w:hint="eastAsia" w:ascii="仿宋_GB2312" w:hAnsi="仿宋_GB2312" w:eastAsia="仿宋_GB2312" w:cs="仿宋_GB2312"/>
          <w:snapToGrid w:val="0"/>
          <w:kern w:val="0"/>
          <w:sz w:val="24"/>
          <w:szCs w:val="24"/>
          <w:lang w:eastAsia="zh-CN"/>
        </w:rPr>
        <w:t>人民政府办公室</w:t>
      </w:r>
    </w:p>
    <w:p w14:paraId="4D6F902F">
      <w:pPr>
        <w:keepNext w:val="0"/>
        <w:keepLines w:val="0"/>
        <w:pageBreakBefore w:val="0"/>
        <w:widowControl w:val="0"/>
        <w:kinsoku/>
        <w:wordWrap/>
        <w:overflowPunct/>
        <w:topLinePunct w:val="0"/>
        <w:autoSpaceDE/>
        <w:autoSpaceDN/>
        <w:bidi w:val="0"/>
        <w:adjustRightInd/>
        <w:snapToGrid w:val="0"/>
        <w:spacing w:line="400" w:lineRule="exact"/>
        <w:ind w:right="0" w:rightChars="0"/>
        <w:jc w:val="right"/>
        <w:textAlignment w:val="auto"/>
        <w:rPr>
          <w:rFonts w:hint="eastAsia" w:ascii="仿宋_GB2312" w:hAnsi="仿宋_GB2312" w:eastAsia="仿宋_GB2312" w:cs="仿宋_GB2312"/>
          <w:snapToGrid w:val="0"/>
          <w:kern w:val="0"/>
          <w:sz w:val="24"/>
          <w:szCs w:val="24"/>
          <w:lang w:eastAsia="zh-CN"/>
        </w:rPr>
      </w:pPr>
      <w:r>
        <w:rPr>
          <w:rFonts w:hint="eastAsia" w:ascii="仿宋_GB2312" w:hAnsi="仿宋_GB2312" w:eastAsia="仿宋_GB2312" w:cs="仿宋_GB2312"/>
          <w:snapToGrid w:val="0"/>
          <w:kern w:val="0"/>
          <w:sz w:val="24"/>
          <w:szCs w:val="24"/>
          <w:lang w:eastAsia="zh-CN"/>
        </w:rPr>
        <w:t>2025年</w:t>
      </w:r>
      <w:r>
        <w:rPr>
          <w:rFonts w:hint="eastAsia" w:ascii="仿宋_GB2312" w:hAnsi="仿宋_GB2312" w:eastAsia="仿宋_GB2312" w:cs="仿宋_GB2312"/>
          <w:snapToGrid w:val="0"/>
          <w:kern w:val="0"/>
          <w:sz w:val="24"/>
          <w:szCs w:val="24"/>
          <w:lang w:val="en-US" w:eastAsia="zh-CN"/>
        </w:rPr>
        <w:t>4</w:t>
      </w:r>
      <w:r>
        <w:rPr>
          <w:rFonts w:hint="eastAsia" w:ascii="仿宋_GB2312" w:hAnsi="仿宋_GB2312" w:eastAsia="仿宋_GB2312" w:cs="仿宋_GB2312"/>
          <w:snapToGrid w:val="0"/>
          <w:kern w:val="0"/>
          <w:sz w:val="24"/>
          <w:szCs w:val="24"/>
          <w:lang w:eastAsia="zh-CN"/>
        </w:rPr>
        <w:t>月</w:t>
      </w:r>
      <w:r>
        <w:rPr>
          <w:rFonts w:hint="eastAsia" w:ascii="仿宋_GB2312" w:hAnsi="仿宋_GB2312" w:eastAsia="仿宋_GB2312" w:cs="仿宋_GB2312"/>
          <w:snapToGrid w:val="0"/>
          <w:kern w:val="0"/>
          <w:sz w:val="24"/>
          <w:szCs w:val="24"/>
          <w:lang w:val="en-US" w:eastAsia="zh-CN"/>
        </w:rPr>
        <w:t>2</w:t>
      </w:r>
      <w:r>
        <w:rPr>
          <w:rFonts w:hint="eastAsia" w:ascii="仿宋_GB2312" w:hAnsi="仿宋_GB2312" w:eastAsia="仿宋_GB2312" w:cs="仿宋_GB2312"/>
          <w:snapToGrid w:val="0"/>
          <w:kern w:val="0"/>
          <w:sz w:val="24"/>
          <w:szCs w:val="24"/>
          <w:lang w:eastAsia="zh-CN"/>
        </w:rPr>
        <w:t>日</w:t>
      </w:r>
    </w:p>
    <w:p w14:paraId="31B95A16">
      <w:pPr>
        <w:keepNext w:val="0"/>
        <w:keepLines w:val="0"/>
        <w:pageBreakBefore w:val="0"/>
        <w:widowControl w:val="0"/>
        <w:kinsoku/>
        <w:wordWrap/>
        <w:overflowPunct/>
        <w:topLinePunct w:val="0"/>
        <w:autoSpaceDE/>
        <w:autoSpaceDN/>
        <w:bidi w:val="0"/>
        <w:adjustRightInd/>
        <w:snapToGrid w:val="0"/>
        <w:spacing w:line="400" w:lineRule="exact"/>
        <w:ind w:left="0" w:right="0" w:rightChars="0" w:firstLine="480" w:firstLineChars="200"/>
        <w:textAlignment w:val="auto"/>
        <w:rPr>
          <w:rFonts w:hint="eastAsia" w:ascii="仿宋_GB2312" w:hAnsi="仿宋_GB2312" w:eastAsia="仿宋_GB2312" w:cs="仿宋_GB2312"/>
          <w:snapToGrid w:val="0"/>
          <w:kern w:val="0"/>
          <w:sz w:val="24"/>
          <w:szCs w:val="24"/>
          <w:lang w:val="en-US" w:eastAsia="zh-CN"/>
        </w:rPr>
      </w:pPr>
    </w:p>
    <w:p w14:paraId="3C655530">
      <w:pPr>
        <w:keepNext w:val="0"/>
        <w:keepLines w:val="0"/>
        <w:pageBreakBefore w:val="0"/>
        <w:widowControl w:val="0"/>
        <w:kinsoku/>
        <w:overflowPunct w:val="0"/>
        <w:bidi w:val="0"/>
        <w:spacing w:line="400" w:lineRule="exact"/>
        <w:ind w:left="0" w:leftChars="0" w:right="0" w:rightChars="0" w:firstLine="480" w:firstLineChars="200"/>
        <w:textAlignment w:val="auto"/>
        <w:rPr>
          <w:rFonts w:hint="eastAsia" w:ascii="仿宋_GB2312" w:hAnsi="仿宋_GB2312" w:eastAsia="仿宋_GB2312" w:cs="仿宋_GB2312"/>
          <w:sz w:val="24"/>
          <w:szCs w:val="24"/>
        </w:rPr>
      </w:pPr>
    </w:p>
    <w:p w14:paraId="29515B29">
      <w:pPr>
        <w:keepNext w:val="0"/>
        <w:keepLines w:val="0"/>
        <w:pageBreakBefore w:val="0"/>
        <w:widowControl w:val="0"/>
        <w:kinsoku/>
        <w:overflowPunct w:val="0"/>
        <w:bidi w:val="0"/>
        <w:spacing w:line="400" w:lineRule="exact"/>
        <w:ind w:left="0" w:leftChars="0" w:right="0" w:rightChars="0" w:firstLine="480" w:firstLineChars="200"/>
        <w:textAlignment w:val="auto"/>
        <w:rPr>
          <w:rFonts w:hint="eastAsia" w:ascii="仿宋_GB2312" w:hAnsi="仿宋_GB2312" w:eastAsia="仿宋_GB2312" w:cs="仿宋_GB2312"/>
          <w:sz w:val="24"/>
          <w:szCs w:val="24"/>
        </w:rPr>
      </w:pPr>
    </w:p>
    <w:p w14:paraId="37DC6DCA">
      <w:pPr>
        <w:keepNext w:val="0"/>
        <w:keepLines w:val="0"/>
        <w:pageBreakBefore w:val="0"/>
        <w:widowControl w:val="0"/>
        <w:kinsoku/>
        <w:overflowPunct w:val="0"/>
        <w:bidi w:val="0"/>
        <w:spacing w:line="400" w:lineRule="exact"/>
        <w:ind w:left="0" w:leftChars="0" w:right="0" w:rightChars="0" w:firstLine="480" w:firstLineChars="200"/>
        <w:textAlignment w:val="auto"/>
        <w:rPr>
          <w:rFonts w:hint="eastAsia" w:ascii="仿宋_GB2312" w:hAnsi="仿宋_GB2312" w:eastAsia="仿宋_GB2312" w:cs="仿宋_GB2312"/>
          <w:sz w:val="24"/>
          <w:szCs w:val="24"/>
        </w:rPr>
      </w:pPr>
    </w:p>
    <w:p w14:paraId="3F86F1C3">
      <w:pPr>
        <w:keepNext w:val="0"/>
        <w:keepLines w:val="0"/>
        <w:pageBreakBefore w:val="0"/>
        <w:widowControl w:val="0"/>
        <w:kinsoku/>
        <w:overflowPunct w:val="0"/>
        <w:bidi w:val="0"/>
        <w:spacing w:line="400" w:lineRule="exact"/>
        <w:ind w:left="0" w:leftChars="0" w:right="0" w:rightChars="0" w:firstLine="480" w:firstLineChars="200"/>
        <w:textAlignment w:val="auto"/>
        <w:rPr>
          <w:rFonts w:hint="eastAsia" w:ascii="仿宋_GB2312" w:hAnsi="仿宋_GB2312" w:eastAsia="仿宋_GB2312" w:cs="仿宋_GB2312"/>
          <w:sz w:val="24"/>
          <w:szCs w:val="24"/>
        </w:rPr>
      </w:pPr>
    </w:p>
    <w:p w14:paraId="6E909EB3">
      <w:pPr>
        <w:keepNext w:val="0"/>
        <w:keepLines w:val="0"/>
        <w:pageBreakBefore w:val="0"/>
        <w:widowControl w:val="0"/>
        <w:shd w:val="clear" w:color="auto" w:fill="FFFFFF"/>
        <w:kinsoku/>
        <w:bidi w:val="0"/>
        <w:adjustRightInd w:val="0"/>
        <w:spacing w:line="400" w:lineRule="exact"/>
        <w:ind w:left="0" w:right="0" w:rightChars="0" w:firstLine="480" w:firstLineChars="200"/>
        <w:jc w:val="left"/>
        <w:textAlignment w:val="auto"/>
        <w:rPr>
          <w:rFonts w:hint="eastAsia" w:ascii="仿宋_GB2312" w:hAnsi="仿宋_GB2312" w:eastAsia="仿宋_GB2312" w:cs="仿宋_GB2312"/>
          <w:sz w:val="24"/>
          <w:szCs w:val="24"/>
        </w:rPr>
      </w:pPr>
    </w:p>
    <w:p w14:paraId="732C0E78">
      <w:pPr>
        <w:keepNext w:val="0"/>
        <w:keepLines w:val="0"/>
        <w:pageBreakBefore w:val="0"/>
        <w:widowControl w:val="0"/>
        <w:shd w:val="clear" w:color="auto" w:fill="FFFFFF"/>
        <w:kinsoku/>
        <w:bidi w:val="0"/>
        <w:adjustRightInd w:val="0"/>
        <w:spacing w:line="400" w:lineRule="exact"/>
        <w:ind w:left="0" w:right="0" w:rightChars="0" w:firstLine="480" w:firstLineChars="200"/>
        <w:jc w:val="left"/>
        <w:textAlignment w:val="auto"/>
        <w:rPr>
          <w:rFonts w:hint="eastAsia" w:ascii="仿宋_GB2312" w:hAnsi="仿宋_GB2312" w:eastAsia="仿宋_GB2312" w:cs="仿宋_GB2312"/>
          <w:sz w:val="24"/>
          <w:szCs w:val="24"/>
        </w:rPr>
      </w:pPr>
    </w:p>
    <w:p w14:paraId="15ABA178">
      <w:pPr>
        <w:snapToGrid w:val="0"/>
        <w:spacing w:line="400" w:lineRule="exact"/>
        <w:ind w:left="0" w:right="0"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br w:type="page"/>
      </w:r>
    </w:p>
    <w:p w14:paraId="212CED64">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32"/>
          <w:szCs w:val="32"/>
        </w:rPr>
      </w:pPr>
      <w:r>
        <w:rPr>
          <w:rFonts w:hint="eastAsia" w:ascii="方正小标宋_GBK" w:hAnsi="方正小标宋_GBK" w:eastAsia="方正小标宋_GBK" w:cs="方正小标宋_GBK"/>
          <w:color w:val="000000"/>
          <w:sz w:val="32"/>
          <w:szCs w:val="32"/>
        </w:rPr>
        <w:t>关于</w:t>
      </w:r>
      <w:r>
        <w:rPr>
          <w:rFonts w:hint="eastAsia" w:ascii="方正小标宋_GBK" w:hAnsi="方正小标宋_GBK" w:eastAsia="方正小标宋_GBK" w:cs="方正小标宋_GBK"/>
          <w:color w:val="000000"/>
          <w:sz w:val="32"/>
          <w:szCs w:val="32"/>
          <w:lang w:val="en-US" w:eastAsia="zh-CN"/>
        </w:rPr>
        <w:t>印发《</w:t>
      </w:r>
      <w:r>
        <w:rPr>
          <w:rFonts w:hint="eastAsia" w:ascii="方正小标宋_GBK" w:hAnsi="方正小标宋_GBK" w:eastAsia="方正小标宋_GBK" w:cs="方正小标宋_GBK"/>
          <w:color w:val="000000"/>
          <w:sz w:val="32"/>
          <w:szCs w:val="32"/>
        </w:rPr>
        <w:t>南通市海门区交通物流降本提质</w:t>
      </w:r>
    </w:p>
    <w:p w14:paraId="0B70BAEF">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32"/>
          <w:szCs w:val="32"/>
          <w:lang w:val="en-US" w:eastAsia="zh-CN"/>
        </w:rPr>
      </w:pPr>
      <w:r>
        <w:rPr>
          <w:rFonts w:hint="eastAsia" w:ascii="方正小标宋_GBK" w:hAnsi="方正小标宋_GBK" w:eastAsia="方正小标宋_GBK" w:cs="方正小标宋_GBK"/>
          <w:color w:val="000000"/>
          <w:sz w:val="32"/>
          <w:szCs w:val="32"/>
        </w:rPr>
        <w:t>增效三年行动计划（2025—2027年）</w:t>
      </w:r>
      <w:r>
        <w:rPr>
          <w:rFonts w:hint="eastAsia" w:ascii="方正小标宋_GBK" w:hAnsi="方正小标宋_GBK" w:eastAsia="方正小标宋_GBK" w:cs="方正小标宋_GBK"/>
          <w:color w:val="000000"/>
          <w:sz w:val="32"/>
          <w:szCs w:val="32"/>
          <w:lang w:val="en-US" w:eastAsia="zh-CN"/>
        </w:rPr>
        <w:t>》的通知</w:t>
      </w:r>
    </w:p>
    <w:p w14:paraId="545BB9A4">
      <w:pPr>
        <w:keepNext w:val="0"/>
        <w:keepLines w:val="0"/>
        <w:pageBreakBefore w:val="0"/>
        <w:widowControl w:val="0"/>
        <w:tabs>
          <w:tab w:val="left" w:pos="8364"/>
        </w:tabs>
        <w:kinsoku/>
        <w:bidi w:val="0"/>
        <w:spacing w:line="400" w:lineRule="exact"/>
        <w:ind w:left="0" w:right="0" w:rightChars="0" w:firstLine="480" w:firstLineChars="200"/>
        <w:jc w:val="center"/>
        <w:textAlignment w:val="auto"/>
        <w:rPr>
          <w:rFonts w:hint="eastAsia" w:ascii="仿宋_GB2312" w:hAnsi="仿宋_GB2312" w:eastAsia="仿宋_GB2312" w:cs="仿宋_GB2312"/>
          <w:sz w:val="24"/>
          <w:szCs w:val="24"/>
        </w:rPr>
      </w:pPr>
    </w:p>
    <w:p w14:paraId="5766E0D3">
      <w:pPr>
        <w:keepNext w:val="0"/>
        <w:keepLines w:val="0"/>
        <w:pageBreakBefore w:val="0"/>
        <w:widowControl w:val="0"/>
        <w:kinsoku/>
        <w:bidi w:val="0"/>
        <w:spacing w:line="400" w:lineRule="exact"/>
        <w:ind w:right="0" w:rightChars="0"/>
        <w:jc w:val="center"/>
        <w:textAlignment w:val="auto"/>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海政办发〔202</w:t>
      </w:r>
      <w:r>
        <w:rPr>
          <w:rFonts w:hint="eastAsia" w:ascii="楷体_GB2312" w:hAnsi="楷体_GB2312" w:eastAsia="楷体_GB2312" w:cs="楷体_GB2312"/>
          <w:sz w:val="24"/>
          <w:szCs w:val="24"/>
          <w:lang w:val="en-US" w:eastAsia="zh-CN"/>
        </w:rPr>
        <w:t>5</w:t>
      </w:r>
      <w:r>
        <w:rPr>
          <w:rFonts w:hint="eastAsia" w:ascii="楷体_GB2312" w:hAnsi="楷体_GB2312" w:eastAsia="楷体_GB2312" w:cs="楷体_GB2312"/>
          <w:sz w:val="24"/>
          <w:szCs w:val="24"/>
        </w:rPr>
        <w:t>〕</w:t>
      </w:r>
      <w:r>
        <w:rPr>
          <w:rFonts w:hint="eastAsia" w:ascii="楷体_GB2312" w:hAnsi="楷体_GB2312" w:eastAsia="楷体_GB2312" w:cs="楷体_GB2312"/>
          <w:sz w:val="24"/>
          <w:szCs w:val="24"/>
          <w:lang w:val="en-US" w:eastAsia="zh-CN"/>
        </w:rPr>
        <w:t>6</w:t>
      </w:r>
      <w:r>
        <w:rPr>
          <w:rFonts w:hint="eastAsia" w:ascii="楷体_GB2312" w:hAnsi="楷体_GB2312" w:eastAsia="楷体_GB2312" w:cs="楷体_GB2312"/>
          <w:sz w:val="24"/>
          <w:szCs w:val="24"/>
        </w:rPr>
        <w:t>号</w:t>
      </w:r>
    </w:p>
    <w:p w14:paraId="1215D7C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right="0" w:rightChars="0" w:firstLine="480" w:firstLineChars="200"/>
        <w:textAlignment w:val="auto"/>
        <w:rPr>
          <w:rFonts w:hint="eastAsia" w:ascii="仿宋_GB2312" w:hAnsi="仿宋_GB2312" w:eastAsia="仿宋_GB2312" w:cs="仿宋_GB2312"/>
          <w:color w:val="auto"/>
          <w:sz w:val="24"/>
          <w:szCs w:val="24"/>
          <w:lang w:val="en-US" w:eastAsia="zh-CN"/>
        </w:rPr>
      </w:pPr>
    </w:p>
    <w:p w14:paraId="162F6B9D">
      <w:pPr>
        <w:keepNext w:val="0"/>
        <w:keepLines w:val="0"/>
        <w:pageBreakBefore w:val="0"/>
        <w:widowControl w:val="0"/>
        <w:kinsoku/>
        <w:bidi w:val="0"/>
        <w:spacing w:line="400" w:lineRule="exact"/>
        <w:ind w:left="0" w:right="0" w:rightChars="0"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各区镇（街道）政府（管委会、办事处），区各委办局，区各直属单位，各垂直管理部门（单位）：</w:t>
      </w:r>
    </w:p>
    <w:p w14:paraId="240BC57E">
      <w:pPr>
        <w:keepNext w:val="0"/>
        <w:keepLines w:val="0"/>
        <w:pageBreakBefore w:val="0"/>
        <w:widowControl w:val="0"/>
        <w:kinsoku/>
        <w:bidi w:val="0"/>
        <w:spacing w:line="400" w:lineRule="exact"/>
        <w:ind w:left="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w:t>
      </w:r>
      <w:r>
        <w:rPr>
          <w:rFonts w:hint="eastAsia" w:ascii="仿宋_GB2312" w:hAnsi="仿宋_GB2312" w:eastAsia="仿宋_GB2312" w:cs="仿宋_GB2312"/>
          <w:color w:val="000000"/>
          <w:sz w:val="24"/>
          <w:szCs w:val="24"/>
        </w:rPr>
        <w:t>南通市海门区交通物流降本提质增效三年行动计划（2025—2027年）</w:t>
      </w:r>
      <w:r>
        <w:rPr>
          <w:rFonts w:hint="eastAsia" w:ascii="仿宋_GB2312" w:hAnsi="仿宋_GB2312" w:eastAsia="仿宋_GB2312" w:cs="仿宋_GB2312"/>
          <w:color w:val="000000"/>
          <w:sz w:val="24"/>
          <w:szCs w:val="24"/>
          <w:lang w:val="en-US" w:eastAsia="zh-CN"/>
        </w:rPr>
        <w:t>》</w:t>
      </w:r>
      <w:r>
        <w:rPr>
          <w:rFonts w:hint="eastAsia" w:ascii="仿宋_GB2312" w:hAnsi="仿宋_GB2312" w:eastAsia="仿宋_GB2312" w:cs="仿宋_GB2312"/>
          <w:sz w:val="24"/>
          <w:szCs w:val="24"/>
        </w:rPr>
        <w:t>已经区政府同意，现予印发，请认真贯彻执行。</w:t>
      </w:r>
    </w:p>
    <w:p w14:paraId="7F1FE24E">
      <w:pPr>
        <w:keepNext w:val="0"/>
        <w:keepLines w:val="0"/>
        <w:pageBreakBefore w:val="0"/>
        <w:widowControl w:val="0"/>
        <w:tabs>
          <w:tab w:val="left" w:pos="7560"/>
        </w:tabs>
        <w:kinsoku/>
        <w:bidi w:val="0"/>
        <w:spacing w:line="400" w:lineRule="exact"/>
        <w:ind w:left="0" w:right="0" w:rightChars="0" w:firstLine="480" w:firstLineChars="200"/>
        <w:textAlignment w:val="auto"/>
        <w:rPr>
          <w:rFonts w:hint="eastAsia" w:ascii="仿宋_GB2312" w:hAnsi="仿宋_GB2312" w:eastAsia="仿宋_GB2312" w:cs="仿宋_GB2312"/>
          <w:sz w:val="24"/>
          <w:szCs w:val="24"/>
        </w:rPr>
      </w:pPr>
    </w:p>
    <w:p w14:paraId="0AF31D26">
      <w:pPr>
        <w:keepNext w:val="0"/>
        <w:keepLines w:val="0"/>
        <w:pageBreakBefore w:val="0"/>
        <w:widowControl w:val="0"/>
        <w:tabs>
          <w:tab w:val="left" w:pos="7560"/>
        </w:tabs>
        <w:kinsoku/>
        <w:bidi w:val="0"/>
        <w:spacing w:line="400" w:lineRule="exact"/>
        <w:ind w:left="0" w:right="0" w:rightChars="0" w:firstLine="480" w:firstLineChars="200"/>
        <w:textAlignment w:val="auto"/>
        <w:rPr>
          <w:rFonts w:hint="eastAsia" w:ascii="仿宋_GB2312" w:hAnsi="仿宋_GB2312" w:eastAsia="仿宋_GB2312" w:cs="仿宋_GB2312"/>
          <w:sz w:val="24"/>
          <w:szCs w:val="24"/>
        </w:rPr>
      </w:pPr>
    </w:p>
    <w:p w14:paraId="76CC9215">
      <w:pPr>
        <w:keepNext w:val="0"/>
        <w:keepLines w:val="0"/>
        <w:pageBreakBefore w:val="0"/>
        <w:widowControl w:val="0"/>
        <w:tabs>
          <w:tab w:val="left" w:pos="7560"/>
        </w:tabs>
        <w:kinsoku/>
        <w:bidi w:val="0"/>
        <w:spacing w:line="400" w:lineRule="exact"/>
        <w:ind w:left="0" w:right="0" w:rightChars="0" w:firstLine="480" w:firstLineChars="200"/>
        <w:jc w:val="righ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南通市海门区人民政府办公室</w:t>
      </w:r>
    </w:p>
    <w:p w14:paraId="260A2049">
      <w:pPr>
        <w:keepNext w:val="0"/>
        <w:keepLines w:val="0"/>
        <w:pageBreakBefore w:val="0"/>
        <w:widowControl w:val="0"/>
        <w:tabs>
          <w:tab w:val="left" w:pos="7573"/>
          <w:tab w:val="left" w:pos="7797"/>
        </w:tabs>
        <w:kinsoku/>
        <w:bidi w:val="0"/>
        <w:spacing w:line="400" w:lineRule="exact"/>
        <w:ind w:right="0" w:rightChars="0"/>
        <w:jc w:val="righ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202</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lang w:val="en-US" w:eastAsia="zh-CN"/>
        </w:rPr>
        <w:t>10</w:t>
      </w:r>
      <w:r>
        <w:rPr>
          <w:rFonts w:hint="eastAsia" w:ascii="仿宋_GB2312" w:hAnsi="仿宋_GB2312" w:eastAsia="仿宋_GB2312" w:cs="仿宋_GB2312"/>
          <w:sz w:val="24"/>
          <w:szCs w:val="24"/>
        </w:rPr>
        <w:t>日</w:t>
      </w:r>
    </w:p>
    <w:p w14:paraId="7BB018E0">
      <w:pPr>
        <w:keepNext w:val="0"/>
        <w:keepLines w:val="0"/>
        <w:pageBreakBefore w:val="0"/>
        <w:widowControl w:val="0"/>
        <w:kinsoku/>
        <w:overflowPunct w:val="0"/>
        <w:bidi w:val="0"/>
        <w:spacing w:line="400" w:lineRule="exact"/>
        <w:ind w:right="0" w:rightChars="0"/>
        <w:jc w:val="both"/>
        <w:textAlignment w:val="auto"/>
        <w:rPr>
          <w:rFonts w:hint="eastAsia" w:ascii="仿宋_GB2312" w:hAnsi="仿宋_GB2312" w:eastAsia="仿宋_GB2312" w:cs="仿宋_GB2312"/>
          <w:sz w:val="24"/>
          <w:szCs w:val="24"/>
        </w:rPr>
      </w:pPr>
    </w:p>
    <w:p w14:paraId="10478051">
      <w:pPr>
        <w:keepNext w:val="0"/>
        <w:keepLines w:val="0"/>
        <w:pageBreakBefore w:val="0"/>
        <w:widowControl w:val="0"/>
        <w:kinsoku/>
        <w:overflowPunct w:val="0"/>
        <w:bidi w:val="0"/>
        <w:spacing w:line="400" w:lineRule="exact"/>
        <w:ind w:left="0" w:right="0" w:rightChars="0" w:firstLine="480" w:firstLineChars="200"/>
        <w:jc w:val="center"/>
        <w:textAlignment w:val="auto"/>
        <w:rPr>
          <w:rFonts w:hint="eastAsia" w:ascii="仿宋_GB2312" w:hAnsi="仿宋_GB2312" w:eastAsia="仿宋_GB2312" w:cs="仿宋_GB2312"/>
          <w:sz w:val="24"/>
          <w:szCs w:val="24"/>
        </w:rPr>
      </w:pPr>
    </w:p>
    <w:p w14:paraId="2BCD39C2">
      <w:pPr>
        <w:keepNext w:val="0"/>
        <w:keepLines w:val="0"/>
        <w:pageBreakBefore w:val="0"/>
        <w:widowControl w:val="0"/>
        <w:kinsoku/>
        <w:bidi w:val="0"/>
        <w:spacing w:line="400" w:lineRule="exact"/>
        <w:ind w:right="0" w:rightChars="0"/>
        <w:jc w:val="center"/>
        <w:textAlignment w:val="auto"/>
        <w:rPr>
          <w:rFonts w:hint="eastAsia" w:ascii="方正小标宋_GBK" w:hAnsi="方正小标宋_GBK" w:eastAsia="方正小标宋_GBK" w:cs="方正小标宋_GBK"/>
          <w:color w:val="000000"/>
          <w:sz w:val="28"/>
          <w:szCs w:val="28"/>
        </w:rPr>
      </w:pPr>
      <w:r>
        <w:rPr>
          <w:rFonts w:hint="eastAsia" w:ascii="方正小标宋_GBK" w:hAnsi="方正小标宋_GBK" w:eastAsia="方正小标宋_GBK" w:cs="方正小标宋_GBK"/>
          <w:color w:val="000000"/>
          <w:sz w:val="28"/>
          <w:szCs w:val="28"/>
        </w:rPr>
        <w:t>南通市海门区交通物流降本提质增效三年行动计划</w:t>
      </w:r>
    </w:p>
    <w:p w14:paraId="7D271313">
      <w:pPr>
        <w:keepNext w:val="0"/>
        <w:keepLines w:val="0"/>
        <w:pageBreakBefore w:val="0"/>
        <w:widowControl w:val="0"/>
        <w:kinsoku/>
        <w:bidi w:val="0"/>
        <w:spacing w:line="400" w:lineRule="exact"/>
        <w:ind w:right="0" w:rightChars="0"/>
        <w:jc w:val="center"/>
        <w:textAlignment w:val="auto"/>
        <w:rPr>
          <w:rFonts w:hint="eastAsia" w:ascii="仿宋_GB2312" w:hAnsi="仿宋_GB2312" w:eastAsia="仿宋_GB2312" w:cs="仿宋_GB2312"/>
          <w:sz w:val="24"/>
          <w:szCs w:val="24"/>
        </w:rPr>
      </w:pPr>
      <w:r>
        <w:rPr>
          <w:rFonts w:hint="eastAsia" w:ascii="方正小标宋_GBK" w:hAnsi="方正小标宋_GBK" w:eastAsia="方正小标宋_GBK" w:cs="方正小标宋_GBK"/>
          <w:color w:val="000000"/>
          <w:sz w:val="28"/>
          <w:szCs w:val="28"/>
        </w:rPr>
        <w:t>（2025—2027年）</w:t>
      </w:r>
      <w:r>
        <w:rPr>
          <w:rFonts w:hint="eastAsia" w:ascii="仿宋_GB2312" w:hAnsi="仿宋_GB2312" w:eastAsia="仿宋_GB2312" w:cs="仿宋_GB2312"/>
          <w:sz w:val="24"/>
          <w:szCs w:val="24"/>
        </w:rPr>
        <w:cr/>
      </w:r>
    </w:p>
    <w:p w14:paraId="13C5A817">
      <w:pPr>
        <w:keepNext w:val="0"/>
        <w:keepLines w:val="0"/>
        <w:pageBreakBefore w:val="0"/>
        <w:widowControl w:val="0"/>
        <w:kinsoku/>
        <w:overflowPunct w:val="0"/>
        <w:bidi w:val="0"/>
        <w:spacing w:line="400" w:lineRule="exact"/>
        <w:ind w:left="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贯彻落实国家及江苏省关于降低物流成本系列政策，充分发挥交通物流先导性、基础性、保障性作用，推动全社会物流成本有效降低，到2027年实现水路货物周转量较2024年提升15%，铁路货运量增长30%，社会物流总费用占GDP比重降至11.6%左右，助力海门经济社会高质量发展，特制定本行动计划。</w:t>
      </w:r>
    </w:p>
    <w:p w14:paraId="35A9966D">
      <w:pPr>
        <w:keepNext w:val="0"/>
        <w:keepLines w:val="0"/>
        <w:pageBreakBefore w:val="0"/>
        <w:widowControl w:val="0"/>
        <w:kinsoku/>
        <w:overflowPunct w:val="0"/>
        <w:bidi w:val="0"/>
        <w:spacing w:line="400" w:lineRule="exact"/>
        <w:ind w:left="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一、提升与产业发展适配性，推进结构性降本提质增效</w:t>
      </w:r>
    </w:p>
    <w:p w14:paraId="549FFB41">
      <w:pPr>
        <w:keepNext w:val="0"/>
        <w:keepLines w:val="0"/>
        <w:pageBreakBefore w:val="0"/>
        <w:widowControl w:val="0"/>
        <w:kinsoku/>
        <w:overflowPunct w:val="0"/>
        <w:bidi w:val="0"/>
        <w:spacing w:line="400" w:lineRule="exact"/>
        <w:ind w:left="0" w:right="0" w:rightChars="0" w:firstLine="482" w:firstLineChars="200"/>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（一）加快完善综合立体交通网</w:t>
      </w:r>
    </w:p>
    <w:p w14:paraId="6B009F25">
      <w:pPr>
        <w:keepNext w:val="0"/>
        <w:keepLines w:val="0"/>
        <w:pageBreakBefore w:val="0"/>
        <w:widowControl w:val="0"/>
        <w:kinsoku/>
        <w:overflowPunct w:val="0"/>
        <w:bidi w:val="0"/>
        <w:spacing w:line="400" w:lineRule="exact"/>
        <w:ind w:left="0" w:right="0" w:rightChars="0"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增强港口服务能级。</w:t>
      </w:r>
      <w:r>
        <w:rPr>
          <w:rFonts w:hint="eastAsia" w:ascii="仿宋_GB2312" w:hAnsi="仿宋_GB2312" w:eastAsia="仿宋_GB2312" w:cs="仿宋_GB2312"/>
          <w:sz w:val="24"/>
          <w:szCs w:val="24"/>
        </w:rPr>
        <w:t>充分发挥江海岸线、港口优势，全面增强港口物流服务功能，重点发展港口物流和港航服务等涉海服务业；积极策应上海国际航运中心建设，加快整合港口资源</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积极拓展通海港区的江海联运业务；以海门开发区、通海港区为重要承载地，积极申报港口型国家物流枢纽，打造长三角北翼江海组合强港。到2027年，沿海新增二港池5万吨级泊位2个，三港池2万吨级重件泊位1个，开展中天5万吨级码头减载靠泊7万吨散货船方案研究，沿海岸线可利用泊位17个；沿江新增2万吨级以上泊位6个（其中10万吨级1个，7万吨级2个，2万吨级3个），沿江岸线可利用泊位达22个。（牵头单位：区交通运输局、开发区、海门港新区；参加单位：区发改委、区水利局、海门自然资源和规划局、海门生态环境局、南通海事局海门海事处、海奕集团、南通通海港口有限公司）</w:t>
      </w:r>
    </w:p>
    <w:p w14:paraId="764A0F54">
      <w:pPr>
        <w:keepNext w:val="0"/>
        <w:keepLines w:val="0"/>
        <w:pageBreakBefore w:val="0"/>
        <w:widowControl w:val="0"/>
        <w:kinsoku/>
        <w:bidi w:val="0"/>
        <w:spacing w:line="400" w:lineRule="exact"/>
        <w:ind w:left="0" w:right="0" w:rightChars="0"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推进航道网络建设。</w:t>
      </w:r>
      <w:r>
        <w:rPr>
          <w:rFonts w:hint="eastAsia" w:ascii="仿宋_GB2312" w:hAnsi="仿宋_GB2312" w:eastAsia="仿宋_GB2312" w:cs="仿宋_GB2312"/>
          <w:sz w:val="24"/>
          <w:szCs w:val="24"/>
        </w:rPr>
        <w:t>按照“畅干线、连断点、成网络、通长江、达海港”总体要求，积极推进沿江沿海港口进港航道建设，继续加强内河航道网建设，持续完善以长江干线为核心、三级航道为骨架、支线航道为补充的航道网络，完成新江海河、通吕运河、东灶新河航道整治工程，通过水路运输网络以及三级干线航道的完善和构建，实现对货运交通运输的有效分流，助推货运结构转型。到2027年，三级以上航道里程达42.64公里，建成新江海河船闸枢纽一座。（牵头单位：区交通运输局；参加单位：区发改委、区水利局、海门自然资源和规划局、海门生态环境局、南通海事局海门海事处、相关区镇）</w:t>
      </w:r>
    </w:p>
    <w:p w14:paraId="41CA6941">
      <w:pPr>
        <w:keepNext w:val="0"/>
        <w:keepLines w:val="0"/>
        <w:pageBreakBefore w:val="0"/>
        <w:widowControl w:val="0"/>
        <w:kinsoku/>
        <w:bidi w:val="0"/>
        <w:spacing w:line="400" w:lineRule="exact"/>
        <w:ind w:left="0" w:right="0" w:rightChars="0"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提升铁路通道能力。</w:t>
      </w:r>
      <w:r>
        <w:rPr>
          <w:rFonts w:hint="eastAsia" w:ascii="仿宋_GB2312" w:hAnsi="仿宋_GB2312" w:eastAsia="仿宋_GB2312" w:cs="仿宋_GB2312"/>
          <w:sz w:val="24"/>
          <w:szCs w:val="24"/>
        </w:rPr>
        <w:t>推进疏港铁路开通运营，形成疏港—宁启—洋吕铁路串联、沿江通海港区—沿海通州湾港区循环的铁路货运格局；推进洋吕铁路东灶港站大宗商贸物流基地和疏港铁路通海港站提质改造，提高仓储力，同时推进铁路货场配套设施规划建设。到2027年，铁路货运营业里程达36.97公里，年运力达1330万吨（含中天钢铁煤、焦炭600万吨/年）。（牵头单位：区交通运输局；参加单位：海门自然资源和规划局、开发区、海门港新区、南通洋吕铁路物流有限公司、南通港集团通海铁路建设有限公司）</w:t>
      </w:r>
    </w:p>
    <w:p w14:paraId="6D645175">
      <w:pPr>
        <w:keepNext w:val="0"/>
        <w:keepLines w:val="0"/>
        <w:pageBreakBefore w:val="0"/>
        <w:widowControl w:val="0"/>
        <w:tabs>
          <w:tab w:val="left" w:pos="759"/>
        </w:tabs>
        <w:kinsoku/>
        <w:bidi w:val="0"/>
        <w:spacing w:line="400" w:lineRule="exact"/>
        <w:ind w:left="0" w:right="0" w:rightChars="0"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优化公路集散网络。</w:t>
      </w:r>
      <w:r>
        <w:rPr>
          <w:rFonts w:hint="eastAsia" w:ascii="仿宋_GB2312" w:hAnsi="仿宋_GB2312" w:eastAsia="仿宋_GB2312" w:cs="仿宋_GB2312"/>
          <w:sz w:val="24"/>
          <w:szCs w:val="24"/>
        </w:rPr>
        <w:t>加快建设海太长江隧道（公路部分）、通常高速通州至海门段、海门北站综合交通枢纽等项目，积极推动中部快速路、星湖大道东延等同城化走廊规划建设。（牵头单位：区交通运输局，区住建局；参加单位：区发改委、区财政局、海门自然资源和规划局）</w:t>
      </w:r>
    </w:p>
    <w:p w14:paraId="2964C6F1">
      <w:pPr>
        <w:keepNext w:val="0"/>
        <w:keepLines w:val="0"/>
        <w:pageBreakBefore w:val="0"/>
        <w:widowControl w:val="0"/>
        <w:tabs>
          <w:tab w:val="left" w:pos="759"/>
        </w:tabs>
        <w:kinsoku/>
        <w:bidi w:val="0"/>
        <w:spacing w:line="400" w:lineRule="exact"/>
        <w:ind w:left="0" w:right="0" w:rightChars="0"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拓展低空经济版图。</w:t>
      </w:r>
      <w:r>
        <w:rPr>
          <w:rFonts w:hint="eastAsia" w:ascii="仿宋_GB2312" w:hAnsi="仿宋_GB2312" w:eastAsia="仿宋_GB2312" w:cs="仿宋_GB2312"/>
          <w:sz w:val="24"/>
          <w:szCs w:val="24"/>
        </w:rPr>
        <w:t>结合低空应用场景实际需求及空域分类划设的发展基础，分级分类规划全区低空起降设施布局，按照“应用主导、先行先试、按需推广”的发展思路，逐步开展基础设施布局建设。（牵头单位：区发改委、区交通运输局；参加单位：相关职能部门、各区镇、海晟集团）</w:t>
      </w:r>
    </w:p>
    <w:p w14:paraId="2AF2FB2D">
      <w:pPr>
        <w:keepNext w:val="0"/>
        <w:keepLines w:val="0"/>
        <w:pageBreakBefore w:val="0"/>
        <w:widowControl w:val="0"/>
        <w:kinsoku/>
        <w:bidi w:val="0"/>
        <w:spacing w:line="400" w:lineRule="exact"/>
        <w:ind w:left="0" w:right="0" w:rightChars="0"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完善货运枢纽体系。</w:t>
      </w:r>
      <w:r>
        <w:rPr>
          <w:rFonts w:hint="eastAsia" w:ascii="仿宋_GB2312" w:hAnsi="仿宋_GB2312" w:eastAsia="仿宋_GB2312" w:cs="仿宋_GB2312"/>
          <w:sz w:val="24"/>
          <w:szCs w:val="24"/>
        </w:rPr>
        <w:t>抢抓上海、苏州—无锡—南通国家综合货运枢纽补链强链建设机遇，完善以多式联运型货运枢纽为骨干、通用集散型货运枢纽为支撑的货运枢纽场站体系。加快通海港区国际物流枢纽中心建设，推动东灶港站大宗商贸物流基地提质改造。</w:t>
      </w:r>
      <w:r>
        <w:rPr>
          <w:rFonts w:hint="eastAsia" w:ascii="仿宋_GB2312" w:hAnsi="仿宋_GB2312" w:eastAsia="仿宋_GB2312" w:cs="仿宋_GB2312"/>
          <w:sz w:val="24"/>
          <w:szCs w:val="24"/>
          <w:lang w:val="en-US" w:eastAsia="zh-CN"/>
        </w:rPr>
        <w:t>同时，依托南通新机场规划建设，协同规划空港物流功能区，加快完善机场周边集疏运体系，拓展空运全链路服务，打造华东空运新枢纽。</w:t>
      </w:r>
      <w:r>
        <w:rPr>
          <w:rFonts w:hint="eastAsia" w:ascii="仿宋_GB2312" w:hAnsi="仿宋_GB2312" w:eastAsia="仿宋_GB2312" w:cs="仿宋_GB2312"/>
          <w:sz w:val="24"/>
          <w:szCs w:val="24"/>
        </w:rPr>
        <w:t>到2027年，建成2个多式联运型货运枢纽，优化叠石桥物流园与深国际物流园2个通用集散型枢纽，启动东灶港数字化多式联运中心建设。服务海门现代产业集群，提供专业化物流服务，助力物流产业集聚。（牵头单位：区交通运输局、区发改委；参加单位：开发区、海门港新区、三星镇、南通洋吕铁路物流有限公司、南通港集团通海铁路建设有限公司、海晟集团、海奕集团）</w:t>
      </w:r>
    </w:p>
    <w:p w14:paraId="7BA05181">
      <w:pPr>
        <w:keepNext w:val="0"/>
        <w:keepLines w:val="0"/>
        <w:pageBreakBefore w:val="0"/>
        <w:widowControl w:val="0"/>
        <w:kinsoku/>
        <w:bidi w:val="0"/>
        <w:spacing w:line="400" w:lineRule="exact"/>
        <w:ind w:left="0" w:right="0" w:rightChars="0"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（二）深入推进运输结构调整优化。</w:t>
      </w:r>
      <w:r>
        <w:rPr>
          <w:rFonts w:hint="eastAsia" w:ascii="仿宋_GB2312" w:hAnsi="仿宋_GB2312" w:eastAsia="仿宋_GB2312" w:cs="仿宋_GB2312"/>
          <w:sz w:val="24"/>
          <w:szCs w:val="24"/>
        </w:rPr>
        <w:t>加快推进铁路专用线进入港口堆场、物流园区、工矿企业。推动大型工矿企业和物流园区充分利用已有支线航道、铁路专用线能力，逐步将大宗货物运输转向水路或铁路运输。加强港口资源整合，进一步加强煤炭、矿石、焦炭、粮食等大宗货物集疏港运输管理，沿海港口的大宗货物中长距离运输原则上以铁路或水路为主，短距离运输时优先采用封闭式皮带廊道或新能源车船。推进通海三期港口岸线报批及外海港池码头建设，同步抓好水运、铁路、公路配套工程实施。至2027年，沿江港口转型和沿海港口开发取得突破性进展，港口设施供给结构明显改善，综合集疏运体系更加顺畅，现代物流、产业集聚、对外开放等综合服务功能更加完善，港口综合通过能力达到5000万吨。（牵头单位：区交通运输局、开发区、南通通海港口有限公司；参加单位：相关职能部门）</w:t>
      </w:r>
    </w:p>
    <w:p w14:paraId="222EC140">
      <w:pPr>
        <w:keepNext w:val="0"/>
        <w:keepLines w:val="0"/>
        <w:pageBreakBefore w:val="0"/>
        <w:widowControl w:val="0"/>
        <w:kinsoku/>
        <w:bidi w:val="0"/>
        <w:spacing w:line="400" w:lineRule="exact"/>
        <w:ind w:left="0" w:right="0" w:rightChars="0"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（三）推进交通物流与产业融合发展。</w:t>
      </w:r>
      <w:r>
        <w:rPr>
          <w:rFonts w:hint="eastAsia" w:ascii="仿宋_GB2312" w:hAnsi="仿宋_GB2312" w:eastAsia="仿宋_GB2312" w:cs="仿宋_GB2312"/>
          <w:sz w:val="24"/>
          <w:szCs w:val="24"/>
        </w:rPr>
        <w:t>优化交通物流基础设施布局，支持交通物流与船舶海工、新能源、生物医药等先进制造业，以及现代农业、战略性新兴产业等高效衔接、深度融合，促进物流供应链一体化融合创新。制定完善海上风电设备、储能电池、大容量光伏电池等新能源产业运输服务保障措施，完善家纺、农产品等特色产品物流配送体系。加快完善能源、矿石、建材、粮食等大宗物资运输服务保障体系，依托港口、铁路、物流园区等交通枢纽建设一批大宗散货混配和接卸中转基地。（牵头单位：区交通运输局、区发改委；参加单位：各区镇、相关职能部门）</w:t>
      </w:r>
    </w:p>
    <w:p w14:paraId="4DFDE18C">
      <w:pPr>
        <w:keepNext w:val="0"/>
        <w:keepLines w:val="0"/>
        <w:pageBreakBefore w:val="0"/>
        <w:widowControl w:val="0"/>
        <w:kinsoku/>
        <w:overflowPunct w:val="0"/>
        <w:bidi w:val="0"/>
        <w:spacing w:line="400" w:lineRule="exact"/>
        <w:ind w:left="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二、促进各环节高效衔接，推进系统性降本提质增效</w:t>
      </w:r>
    </w:p>
    <w:p w14:paraId="4B519980">
      <w:pPr>
        <w:keepNext w:val="0"/>
        <w:keepLines w:val="0"/>
        <w:pageBreakBefore w:val="0"/>
        <w:widowControl w:val="0"/>
        <w:kinsoku/>
        <w:bidi w:val="0"/>
        <w:spacing w:line="400" w:lineRule="exact"/>
        <w:ind w:left="0" w:right="0" w:rightChars="0"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（四）推动多式联运创新发展。</w:t>
      </w:r>
      <w:r>
        <w:rPr>
          <w:rFonts w:hint="eastAsia" w:ascii="仿宋_GB2312" w:hAnsi="仿宋_GB2312" w:eastAsia="仿宋_GB2312" w:cs="仿宋_GB2312"/>
          <w:sz w:val="24"/>
          <w:szCs w:val="24"/>
        </w:rPr>
        <w:t>依托丰富的交通资源和产业基础，以江海河、公铁水等多式联运精品线路为抓手，探索推动“一单制”“一箱制”创新发展。通过完善多式联运枢纽体系，推进疏港铁路一期与宁启铁路、洋吕铁路的串联，形成江海铁路联运体系。到2027年，逐步实现货物运输的“一次委托”“一单到底”“一次结算”，提升物流效率，降低企业成本。（牵头单位：南通洋吕铁路物流有限公司、南通港集团通海铁路建设有限公司；参加单位：区交通运输局、海门邮政管理局、南通海关驻海门办事处）</w:t>
      </w:r>
    </w:p>
    <w:p w14:paraId="32480EF4">
      <w:pPr>
        <w:keepNext w:val="0"/>
        <w:keepLines w:val="0"/>
        <w:pageBreakBefore w:val="0"/>
        <w:widowControl w:val="0"/>
        <w:kinsoku/>
        <w:bidi w:val="0"/>
        <w:spacing w:line="400" w:lineRule="exact"/>
        <w:ind w:left="0" w:right="0" w:rightChars="0"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（五）建立健全内贸集装箱多式联运体系。</w:t>
      </w:r>
      <w:r>
        <w:rPr>
          <w:rFonts w:hint="eastAsia" w:ascii="仿宋_GB2312" w:hAnsi="仿宋_GB2312" w:eastAsia="仿宋_GB2312" w:cs="仿宋_GB2312"/>
          <w:sz w:val="24"/>
          <w:szCs w:val="24"/>
        </w:rPr>
        <w:t>鼓励建设内贸集装箱提还箱点，支持沿江沿海港口积极与中西部地区合作建设“无水港”，推进内贸集装箱循环共用。加快推进铁水联运货物分类、装载和安全检查行业标准衔接互认，推动多式联运“一箱制”发展。支持符合条件的企业开展内外贸集装箱同船运输，推行集装箱外贸内支线进出口双向运作模式。加快标准托盘、周转箱（筐）等单元化物流载具推广应用和循环共用。（牵头单位：南通洋吕铁路物流有限公司、南通港集团通海铁路建设有限公司；参加单位：区交通运输局、区商务局、海门邮政管理局）</w:t>
      </w:r>
    </w:p>
    <w:p w14:paraId="6060AA53">
      <w:pPr>
        <w:keepNext w:val="0"/>
        <w:keepLines w:val="0"/>
        <w:pageBreakBefore w:val="0"/>
        <w:widowControl w:val="0"/>
        <w:kinsoku/>
        <w:bidi w:val="0"/>
        <w:spacing w:line="400" w:lineRule="exact"/>
        <w:ind w:left="0" w:right="0" w:rightChars="0"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（六）打造叠石桥外贸综合服务平台。</w:t>
      </w:r>
      <w:r>
        <w:rPr>
          <w:rFonts w:hint="eastAsia" w:ascii="仿宋_GB2312" w:hAnsi="仿宋_GB2312" w:eastAsia="仿宋_GB2312" w:cs="仿宋_GB2312"/>
          <w:sz w:val="24"/>
          <w:szCs w:val="24"/>
        </w:rPr>
        <w:t>深化中国外运华东有限公司与叠石桥家纺产业集团合作，依托江苏叠石桥现代物流科技有限公司，致力于打造集检验检测认证、海关监管、智慧化集拼储运中心运营和一站式跨境商务综合服务于一体的一站式外贸服务平台。助力叠石桥市场加速国际化，推动区域经济发展，实现互利共赢。（牵头单位：叠石桥家纺产业集团；参加单位：区</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https://www.baidu.com/s?rsv_dl=re_dqa_generate&amp;sa=re_dqa_generate&amp;wd=%E5%9B%BD%E5%AE%B6%E5%B8%82%E5%9C%BA%E7%9B%91%E7%9D%A3%E7%AE%A1%E7%90%86%E6%80%BB%E5%B1%80&amp;rsv_pq=caefc8dd01b1921a&amp;oq=%E5%A4%96%E8%B4%B8%E6%A3%80%E9%AA%8C%E6%A3%80%E6%B5%8B%E8%AE%A4%E8%AF%81%E6%98%AF%E5%93%AA%E4%B8%AA%E9%83%A8%E9%97%A8&amp;rsv_t=6e1c76mC6mLmGxJxetVHgnV6Em74pATawzzYyJFGhtE/YGcEJDpcCw8yl3s&amp;tn=baidu&amp;ie=utf-8" \t "_blank"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市场监督管理局</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t>、区商务局、南通海关驻海门办事处）</w:t>
      </w:r>
    </w:p>
    <w:p w14:paraId="0D3F607D">
      <w:pPr>
        <w:keepNext w:val="0"/>
        <w:keepLines w:val="0"/>
        <w:pageBreakBefore w:val="0"/>
        <w:widowControl w:val="0"/>
        <w:kinsoku/>
        <w:bidi w:val="0"/>
        <w:spacing w:line="400" w:lineRule="exact"/>
        <w:ind w:left="0" w:right="0" w:rightChars="0"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（七）畅通城乡物流末端循环网络。</w:t>
      </w:r>
      <w:r>
        <w:rPr>
          <w:rFonts w:hint="eastAsia" w:ascii="仿宋_GB2312" w:hAnsi="仿宋_GB2312" w:eastAsia="仿宋_GB2312" w:cs="仿宋_GB2312"/>
          <w:sz w:val="24"/>
          <w:szCs w:val="24"/>
        </w:rPr>
        <w:t>提升城乡物流服务品牌效应，优化城乡物流服务网络，深入推进城市绿色货运配送，加大新能源物流车的应用推广，鼓励使用适合货运配送的新能源车辆、新能源无人配送车。提高服务质量，适应消费升级趋势，落实扩大内需战略，鼓励物流企业在统筹当地商贸、农资、电商等货源的基础上，为农村地区电子商务、农资销售、连锁商超等企业提供共同配送服务，加强末端共同配送发展</w:t>
      </w:r>
      <w:r>
        <w:rPr>
          <w:rFonts w:hint="eastAsia" w:ascii="仿宋_GB2312" w:hAnsi="仿宋_GB2312" w:eastAsia="仿宋_GB2312" w:cs="仿宋_GB2312"/>
          <w:sz w:val="24"/>
          <w:szCs w:val="24"/>
          <w:lang w:eastAsia="zh-CN"/>
        </w:rPr>
        <w:t>，让</w:t>
      </w:r>
      <w:r>
        <w:rPr>
          <w:rFonts w:hint="eastAsia" w:ascii="仿宋_GB2312" w:hAnsi="仿宋_GB2312" w:eastAsia="仿宋_GB2312" w:cs="仿宋_GB2312"/>
          <w:sz w:val="24"/>
          <w:szCs w:val="24"/>
        </w:rPr>
        <w:t>农村寄递物流服务质量更好满足城市居民生活需要。（牵头单位：区交通运输局、海门邮政管理局；参加单位：区农业农村局、区商务局、海门供销集团总公司、各区镇）</w:t>
      </w:r>
    </w:p>
    <w:p w14:paraId="569A7B9D">
      <w:pPr>
        <w:keepNext w:val="0"/>
        <w:keepLines w:val="0"/>
        <w:pageBreakBefore w:val="0"/>
        <w:widowControl w:val="0"/>
        <w:kinsoku/>
        <w:overflowPunct w:val="0"/>
        <w:bidi w:val="0"/>
        <w:spacing w:line="400" w:lineRule="exact"/>
        <w:ind w:left="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三、深度开放市场环境，推进制度性降本提质增效</w:t>
      </w:r>
    </w:p>
    <w:p w14:paraId="6E072DA8">
      <w:pPr>
        <w:keepNext w:val="0"/>
        <w:keepLines w:val="0"/>
        <w:pageBreakBefore w:val="0"/>
        <w:widowControl w:val="0"/>
        <w:kinsoku/>
        <w:bidi w:val="0"/>
        <w:spacing w:line="400" w:lineRule="exact"/>
        <w:ind w:left="0" w:right="0" w:rightChars="0"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（八）提升市场法治化、规范化水平。</w:t>
      </w:r>
      <w:r>
        <w:rPr>
          <w:rFonts w:hint="eastAsia" w:ascii="仿宋_GB2312" w:hAnsi="仿宋_GB2312" w:eastAsia="仿宋_GB2312" w:cs="仿宋_GB2312"/>
          <w:sz w:val="24"/>
          <w:szCs w:val="24"/>
        </w:rPr>
        <w:t>建立健全基于信用评价的分级分类差异化监管模式。完善货车改装联合执法、信息共享和联合惩戒机制，加大货车一致性监督检查力度，压实车辆检测、检验等环节责任，严厉打击套牌挂车。稳步开展超长平板半挂车、超长集装箱半挂车治理工作，强化联合监管。（区交通运输局、区公安局按职责分工负责）</w:t>
      </w:r>
    </w:p>
    <w:p w14:paraId="08EC5A73">
      <w:pPr>
        <w:keepNext w:val="0"/>
        <w:keepLines w:val="0"/>
        <w:pageBreakBefore w:val="0"/>
        <w:widowControl w:val="0"/>
        <w:kinsoku/>
        <w:bidi w:val="0"/>
        <w:spacing w:line="400" w:lineRule="exact"/>
        <w:ind w:left="0" w:right="0" w:rightChars="0"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（九）规范重点领域和环节收费。</w:t>
      </w:r>
      <w:r>
        <w:rPr>
          <w:rFonts w:hint="eastAsia" w:ascii="仿宋_GB2312" w:hAnsi="仿宋_GB2312" w:eastAsia="仿宋_GB2312" w:cs="仿宋_GB2312"/>
          <w:sz w:val="24"/>
          <w:szCs w:val="24"/>
        </w:rPr>
        <w:t>鼓励铁路运输企业与大型企业、港口、航运、班列、货运代理企业等签订“量价互保”协议，提高多式联运成本竞争优势。严格执行地方铁路、专用铁路、铁路专用线、装卸、堆场收费规则，明确线路使用、管理维护、运输服务等收费规则，严格落实铁路专用线领域收费目录清单和公示制度，进一步降低使用成本。（区发改委、区市场监督管理局、区交通运输局、区财政局、区商务局按职责分工负责）</w:t>
      </w:r>
    </w:p>
    <w:p w14:paraId="00CAD526">
      <w:pPr>
        <w:keepNext w:val="0"/>
        <w:keepLines w:val="0"/>
        <w:pageBreakBefore w:val="0"/>
        <w:widowControl w:val="0"/>
        <w:kinsoku/>
        <w:overflowPunct w:val="0"/>
        <w:bidi w:val="0"/>
        <w:spacing w:line="400" w:lineRule="exact"/>
        <w:ind w:left="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四、加快培育新动能，推进技术性降本提质增效</w:t>
      </w:r>
    </w:p>
    <w:p w14:paraId="54BCBC71">
      <w:pPr>
        <w:keepNext w:val="0"/>
        <w:keepLines w:val="0"/>
        <w:pageBreakBefore w:val="0"/>
        <w:widowControl w:val="0"/>
        <w:kinsoku/>
        <w:bidi w:val="0"/>
        <w:spacing w:line="400" w:lineRule="exact"/>
        <w:ind w:left="0" w:right="0" w:rightChars="0"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（十）培育壮大市场主体。</w:t>
      </w:r>
      <w:r>
        <w:rPr>
          <w:rFonts w:hint="eastAsia" w:ascii="仿宋_GB2312" w:hAnsi="仿宋_GB2312" w:eastAsia="仿宋_GB2312" w:cs="仿宋_GB2312"/>
          <w:sz w:val="24"/>
          <w:szCs w:val="24"/>
        </w:rPr>
        <w:t>支持本地铁路、港口经营企业依托资本、设施优势，拓展跨运输方式组货能力，升级转型为多式联运经营人。鼓励江苏海晟控股集团、江苏海奕控股集团有限公司、</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"https://aiqicha.baidu.com/detail/compinfo?pid=xlTM-TogKuTwCWo9aJHhzLlers*XvUYMIgmd&amp;pd=aen&amp;from=ps&amp;query=%E9%95%BF%E6%B1%9F%E5%8F%A3%E9%9B%86%E5%9B%A2" \t "_blank"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江苏长江口开发集团有限公司</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t>等海门大型国企，以申报创建部、省多式联运示范工程项目为纽带，通过投资入股等方式，联合运输市场主体，整合多式联运市场资源。选择性引进外地优良企业，吸引国内外优质多式联运企业、知名航运企业、货代企业在海门设立区域运营中心或分支机构。（牵头单位：区发改委、区交通运输局；参加单位：各区镇、各区属国企）</w:t>
      </w:r>
    </w:p>
    <w:p w14:paraId="6F4BD513">
      <w:pPr>
        <w:keepNext w:val="0"/>
        <w:keepLines w:val="0"/>
        <w:pageBreakBefore w:val="0"/>
        <w:widowControl w:val="0"/>
        <w:kinsoku/>
        <w:bidi w:val="0"/>
        <w:spacing w:line="400" w:lineRule="exact"/>
        <w:ind w:left="0" w:right="0" w:rightChars="0"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（十一）大力提升技术装备绿色化水平。</w:t>
      </w:r>
      <w:r>
        <w:rPr>
          <w:rFonts w:hint="eastAsia" w:ascii="仿宋_GB2312" w:hAnsi="仿宋_GB2312" w:eastAsia="仿宋_GB2312" w:cs="仿宋_GB2312"/>
          <w:sz w:val="24"/>
          <w:szCs w:val="24"/>
        </w:rPr>
        <w:t>积极推动新能源和清洁能源车船应用，鼓励运输船舶更新为LNG动力示范船，推动在交通场站建设充换电等配套设施。在港区、厂区短途运输和固定线路运输等场景示范应用新能源重型卡车。加快推进交通枢纽绿色化、智能化改造，推动场站、码头前沿装卸设备、水平运输车辆、堆场装卸机械等关键设备采用新能源、清洁能源和数转智改，协同推进船舶和港口岸电设施建设，深入推进船舶靠港使用岸电。到2027年，港口生产新能源、清洁能源消费占比75%以上。（牵头单位：区交通运输局、区发改委；参加单位：海门生态环境局、南通海事局海门海事处、相关区镇）</w:t>
      </w:r>
    </w:p>
    <w:p w14:paraId="75E2F813">
      <w:pPr>
        <w:keepNext w:val="0"/>
        <w:keepLines w:val="0"/>
        <w:pageBreakBefore w:val="0"/>
        <w:widowControl w:val="0"/>
        <w:kinsoku/>
        <w:overflowPunct w:val="0"/>
        <w:bidi w:val="0"/>
        <w:spacing w:line="400" w:lineRule="exact"/>
        <w:ind w:left="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五、支持企业提升运营效率，推进经营性降本提质增效</w:t>
      </w:r>
    </w:p>
    <w:p w14:paraId="252C5F5A">
      <w:pPr>
        <w:keepNext w:val="0"/>
        <w:keepLines w:val="0"/>
        <w:pageBreakBefore w:val="0"/>
        <w:widowControl w:val="0"/>
        <w:kinsoku/>
        <w:bidi w:val="0"/>
        <w:spacing w:line="400" w:lineRule="exact"/>
        <w:ind w:left="0" w:right="0" w:rightChars="0"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（十二）提升交通物流企业供应链管理水平。</w:t>
      </w:r>
      <w:r>
        <w:rPr>
          <w:rFonts w:hint="eastAsia" w:ascii="仿宋_GB2312" w:hAnsi="仿宋_GB2312" w:eastAsia="仿宋_GB2312" w:cs="仿宋_GB2312"/>
          <w:sz w:val="24"/>
          <w:szCs w:val="24"/>
        </w:rPr>
        <w:t>深入推进民生消费、跨境电商等物流供应链一体化创新发展。加快培育平台型、综合性物流供应链服务企业，提升多式联运、库存管理和分销配送等服务能力。提升工程物流、医药冷链、危险品等专业领域物流服务能力，打造一批交通物流专业化、精细化企业群体。（牵头单位：区交通运输局、区发改委、区商务局、海门邮政管理局牵头；参加单位：各区镇）</w:t>
      </w:r>
    </w:p>
    <w:p w14:paraId="1692AAA0">
      <w:pPr>
        <w:keepNext w:val="0"/>
        <w:keepLines w:val="0"/>
        <w:pageBreakBefore w:val="0"/>
        <w:widowControl w:val="0"/>
        <w:kinsoku/>
        <w:overflowPunct w:val="0"/>
        <w:bidi w:val="0"/>
        <w:spacing w:line="400" w:lineRule="exact"/>
        <w:ind w:left="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六、完善政策保障体系，推进综合性降本提质增效</w:t>
      </w:r>
    </w:p>
    <w:p w14:paraId="15BA4320">
      <w:pPr>
        <w:keepNext w:val="0"/>
        <w:keepLines w:val="0"/>
        <w:pageBreakBefore w:val="0"/>
        <w:widowControl w:val="0"/>
        <w:kinsoku/>
        <w:bidi w:val="0"/>
        <w:spacing w:line="400" w:lineRule="exact"/>
        <w:ind w:left="0" w:right="0" w:rightChars="0"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（十三）完善财政等支持政策。</w:t>
      </w:r>
      <w:r>
        <w:rPr>
          <w:rFonts w:hint="eastAsia" w:ascii="仿宋_GB2312" w:hAnsi="仿宋_GB2312" w:eastAsia="仿宋_GB2312" w:cs="仿宋_GB2312"/>
          <w:sz w:val="24"/>
          <w:szCs w:val="24"/>
        </w:rPr>
        <w:t>积极争取国家、省、市级相关财政资金支持，加大对多式联运枢纽场站及集疏运体系建设的资金扶持。区级财政对运输结构调整、多式联运发展等做好资金保障。对集装箱新型载运工具应用、多式联运信息平台开发建设等方面给予支持。对有一定规模、具有示范意义的多式联运示范项目给予一定奖励。要加大对多式联运发展优化调整运输结构的政策支持，因地制宜出台财政引导政策。（牵头单位：区财政局；参加单位：区发改委、区交通运输局）</w:t>
      </w:r>
    </w:p>
    <w:p w14:paraId="7B24EB5A">
      <w:pPr>
        <w:keepNext w:val="0"/>
        <w:keepLines w:val="0"/>
        <w:pageBreakBefore w:val="0"/>
        <w:widowControl w:val="0"/>
        <w:kinsoku/>
        <w:autoSpaceDE w:val="0"/>
        <w:autoSpaceDN w:val="0"/>
        <w:bidi w:val="0"/>
        <w:snapToGrid w:val="0"/>
        <w:spacing w:line="400" w:lineRule="exact"/>
        <w:ind w:left="0" w:right="0" w:rightChars="0" w:firstLine="482"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（十四）完善用地用海支持政策。</w:t>
      </w:r>
      <w:r>
        <w:rPr>
          <w:rFonts w:hint="eastAsia" w:ascii="仿宋_GB2312" w:hAnsi="仿宋_GB2312" w:eastAsia="仿宋_GB2312" w:cs="仿宋_GB2312"/>
          <w:sz w:val="24"/>
          <w:szCs w:val="24"/>
        </w:rPr>
        <w:t>加大国家综合货运枢纽补链强链、国家物流枢纽、综合货运枢纽、中转分拨基地、铁路专用线、干支线航道网、封闭式皮带廊道等项目用地支持力度，优先安排新增建设用地指标，提高用地复合程度，盘活闲置交通用地资源。支持重点港口、集疏港航道、铁路和公路等建设项目用海及岸线需求，确保将港口岸线、用地等纳入相关规划。对支撑多式联运发展、运输结构调整的规划和重点建设项目，开辟环评绿色通道，依法依规加快环评审查、审批。要在国土空间规划指导下组织编制港口集疏运航道、铁路及产业聚集区、物流园区和工矿企业支线航道、铁路专用线建设方案，优先安排用地指标。（牵头单位：海门自然资源和规划局；参加单位：区发改委、区交通运输局、区水利局、区数据局、海门生态环境局、开发区）</w:t>
      </w:r>
    </w:p>
    <w:p w14:paraId="062C7BC1">
      <w:pPr>
        <w:keepNext w:val="0"/>
        <w:keepLines w:val="0"/>
        <w:pageBreakBefore w:val="0"/>
        <w:widowControl w:val="0"/>
        <w:kinsoku/>
        <w:autoSpaceDE w:val="0"/>
        <w:autoSpaceDN w:val="0"/>
        <w:bidi w:val="0"/>
        <w:snapToGrid w:val="0"/>
        <w:spacing w:line="400" w:lineRule="exact"/>
        <w:ind w:left="0" w:right="0" w:rightChars="0" w:firstLine="480" w:firstLineChars="200"/>
        <w:textAlignment w:val="auto"/>
        <w:rPr>
          <w:rFonts w:hint="eastAsia" w:ascii="仿宋_GB2312" w:hAnsi="仿宋_GB2312" w:eastAsia="仿宋_GB2312" w:cs="仿宋_GB2312"/>
          <w:sz w:val="24"/>
          <w:szCs w:val="24"/>
        </w:rPr>
      </w:pPr>
    </w:p>
    <w:p w14:paraId="42A07B63">
      <w:pPr>
        <w:pStyle w:val="9"/>
        <w:keepNext w:val="0"/>
        <w:keepLines w:val="0"/>
        <w:pageBreakBefore w:val="0"/>
        <w:widowControl w:val="0"/>
        <w:kinsoku/>
        <w:bidi w:val="0"/>
        <w:snapToGrid w:val="0"/>
        <w:spacing w:line="400" w:lineRule="exact"/>
        <w:ind w:left="0" w:right="0" w:rightChars="0" w:firstLine="480" w:firstLineChars="200"/>
        <w:jc w:val="left"/>
        <w:textAlignment w:val="auto"/>
        <w:rPr>
          <w:rFonts w:hint="eastAsia" w:ascii="仿宋_GB2312" w:hAnsi="仿宋_GB2312" w:eastAsia="仿宋_GB2312" w:cs="仿宋_GB2312"/>
          <w:sz w:val="24"/>
          <w:szCs w:val="24"/>
        </w:rPr>
      </w:pPr>
    </w:p>
    <w:p w14:paraId="6957BF70">
      <w:pPr>
        <w:ind w:right="25" w:rightChars="12"/>
        <w:rPr>
          <w:rFonts w:hint="eastAsia" w:ascii="华文新魏" w:hAnsi="宋体" w:eastAsia="华文新魏" w:cs="宋体"/>
          <w:kern w:val="0"/>
          <w:sz w:val="48"/>
          <w:szCs w:val="48"/>
          <w:bdr w:val="wave" w:color="auto" w:sz="6" w:space="0"/>
        </w:rPr>
      </w:pPr>
    </w:p>
    <w:p w14:paraId="602CFB32">
      <w:pPr>
        <w:ind w:right="25" w:rightChars="12"/>
        <w:rPr>
          <w:rFonts w:hint="eastAsia" w:ascii="华文新魏" w:hAnsi="宋体" w:eastAsia="华文新魏" w:cs="宋体"/>
          <w:kern w:val="0"/>
          <w:sz w:val="48"/>
          <w:szCs w:val="48"/>
          <w:bdr w:val="wave" w:color="auto" w:sz="6" w:space="0"/>
        </w:rPr>
      </w:pPr>
    </w:p>
    <w:p w14:paraId="7861A8DE">
      <w:pPr>
        <w:ind w:right="25" w:rightChars="12"/>
        <w:rPr>
          <w:rFonts w:hint="eastAsia" w:ascii="华文新魏" w:hAnsi="宋体" w:eastAsia="华文新魏" w:cs="宋体"/>
          <w:kern w:val="0"/>
          <w:sz w:val="48"/>
          <w:szCs w:val="48"/>
          <w:bdr w:val="wave" w:color="auto" w:sz="6" w:space="0"/>
        </w:rPr>
      </w:pPr>
    </w:p>
    <w:p w14:paraId="307F826F">
      <w:pPr>
        <w:ind w:right="25" w:rightChars="12"/>
        <w:rPr>
          <w:rFonts w:hint="eastAsia" w:ascii="华文新魏" w:hAnsi="宋体" w:eastAsia="华文新魏" w:cs="宋体"/>
          <w:kern w:val="0"/>
          <w:sz w:val="48"/>
          <w:szCs w:val="48"/>
          <w:bdr w:val="wave" w:color="auto" w:sz="6" w:space="0"/>
        </w:rPr>
      </w:pPr>
    </w:p>
    <w:p w14:paraId="31870FCD">
      <w:pPr>
        <w:ind w:right="25" w:rightChars="12"/>
        <w:rPr>
          <w:rFonts w:hint="eastAsia" w:ascii="华文新魏" w:hAnsi="宋体" w:eastAsia="华文新魏" w:cs="宋体"/>
          <w:kern w:val="0"/>
          <w:sz w:val="48"/>
          <w:szCs w:val="48"/>
          <w:bdr w:val="wave" w:color="auto" w:sz="6" w:space="0"/>
        </w:rPr>
      </w:pPr>
    </w:p>
    <w:p w14:paraId="3E05BB47">
      <w:pPr>
        <w:ind w:right="25" w:rightChars="12"/>
        <w:rPr>
          <w:rFonts w:hint="eastAsia" w:ascii="华文新魏" w:hAnsi="宋体" w:eastAsia="华文新魏" w:cs="宋体"/>
          <w:kern w:val="0"/>
          <w:sz w:val="48"/>
          <w:szCs w:val="48"/>
          <w:bdr w:val="wave" w:color="auto" w:sz="6" w:space="0"/>
        </w:rPr>
      </w:pPr>
    </w:p>
    <w:p w14:paraId="012533BF">
      <w:pPr>
        <w:ind w:right="25" w:rightChars="12"/>
        <w:rPr>
          <w:rFonts w:hint="eastAsia" w:ascii="华文新魏" w:hAnsi="宋体" w:eastAsia="华文新魏" w:cs="宋体"/>
          <w:kern w:val="0"/>
          <w:sz w:val="48"/>
          <w:szCs w:val="48"/>
          <w:bdr w:val="wave" w:color="auto" w:sz="6" w:space="0"/>
        </w:rPr>
      </w:pPr>
    </w:p>
    <w:p w14:paraId="32379460">
      <w:pPr>
        <w:ind w:right="25" w:rightChars="12"/>
        <w:rPr>
          <w:rFonts w:hint="eastAsia" w:ascii="华文新魏" w:hAnsi="宋体" w:eastAsia="华文新魏" w:cs="宋体"/>
          <w:kern w:val="0"/>
          <w:sz w:val="48"/>
          <w:szCs w:val="48"/>
          <w:bdr w:val="wave" w:color="auto" w:sz="6" w:space="0"/>
        </w:rPr>
      </w:pPr>
    </w:p>
    <w:p w14:paraId="61BBAF65">
      <w:pPr>
        <w:ind w:right="25" w:rightChars="12"/>
        <w:rPr>
          <w:rFonts w:hint="eastAsia" w:ascii="华文新魏" w:hAnsi="宋体" w:eastAsia="华文新魏" w:cs="宋体"/>
          <w:kern w:val="0"/>
          <w:sz w:val="48"/>
          <w:szCs w:val="48"/>
          <w:bdr w:val="wave" w:color="auto" w:sz="6" w:space="0"/>
        </w:rPr>
      </w:pPr>
    </w:p>
    <w:p w14:paraId="5D15481C">
      <w:pPr>
        <w:ind w:right="25" w:rightChars="12"/>
        <w:rPr>
          <w:rFonts w:hint="eastAsia" w:ascii="华文新魏" w:hAnsi="宋体" w:eastAsia="华文新魏" w:cs="宋体"/>
          <w:kern w:val="0"/>
          <w:sz w:val="48"/>
          <w:szCs w:val="48"/>
          <w:bdr w:val="wave" w:color="auto" w:sz="6" w:space="0"/>
        </w:rPr>
      </w:pPr>
    </w:p>
    <w:p w14:paraId="3F4D39B4">
      <w:pPr>
        <w:ind w:right="25" w:rightChars="12"/>
        <w:rPr>
          <w:rFonts w:hint="eastAsia" w:ascii="华文新魏" w:hAnsi="宋体" w:eastAsia="华文新魏" w:cs="宋体"/>
          <w:kern w:val="0"/>
          <w:sz w:val="48"/>
          <w:szCs w:val="48"/>
          <w:bdr w:val="wave" w:color="auto" w:sz="6" w:space="0"/>
        </w:rPr>
      </w:pPr>
    </w:p>
    <w:p w14:paraId="0A67F1A5">
      <w:pPr>
        <w:ind w:right="25" w:rightChars="12"/>
        <w:rPr>
          <w:rFonts w:hint="eastAsia" w:ascii="方正魏碑_GBK" w:hAnsi="宋体" w:eastAsia="方正魏碑_GBK" w:cs="宋体"/>
          <w:kern w:val="0"/>
          <w:sz w:val="48"/>
          <w:szCs w:val="48"/>
          <w:bdr w:val="wave" w:color="auto" w:sz="6" w:space="0"/>
        </w:rPr>
      </w:pPr>
      <w:r>
        <w:rPr>
          <w:rFonts w:hint="eastAsia" w:ascii="华文新魏" w:hAnsi="宋体" w:eastAsia="华文新魏" w:cs="宋体"/>
          <w:kern w:val="0"/>
          <w:sz w:val="48"/>
          <w:szCs w:val="48"/>
          <w:bdr w:val="wave" w:color="auto" w:sz="6" w:space="0"/>
        </w:rPr>
        <w:t>大事记</w:t>
      </w:r>
    </w:p>
    <w:p w14:paraId="7DFD14E7">
      <w:pPr>
        <w:adjustRightInd w:val="0"/>
        <w:snapToGrid w:val="0"/>
        <w:spacing w:line="560" w:lineRule="exact"/>
        <w:ind w:right="25" w:rightChars="12"/>
        <w:jc w:val="center"/>
        <w:rPr>
          <w:rFonts w:ascii="方正小标宋_GBK" w:eastAsia="方正小标宋_GBK"/>
          <w:bCs/>
          <w:sz w:val="32"/>
          <w:szCs w:val="32"/>
        </w:rPr>
      </w:pPr>
      <w:bookmarkStart w:id="0" w:name="_Toc24153"/>
      <w:bookmarkStart w:id="1" w:name="_Toc21648"/>
      <w:bookmarkStart w:id="2" w:name="_Toc21627"/>
      <w:bookmarkStart w:id="3" w:name="_Toc10022723"/>
      <w:bookmarkStart w:id="4" w:name="_Toc140"/>
      <w:bookmarkStart w:id="5" w:name="_Toc487446063"/>
      <w:bookmarkStart w:id="6" w:name="_Toc11451"/>
      <w:bookmarkStart w:id="7" w:name="_Toc32505"/>
      <w:bookmarkStart w:id="8" w:name="_Toc1178"/>
      <w:r>
        <w:rPr>
          <w:rFonts w:hint="eastAsia" w:ascii="方正小标宋_GBK" w:eastAsia="方正小标宋_GBK"/>
          <w:bCs/>
          <w:sz w:val="32"/>
          <w:szCs w:val="32"/>
        </w:rPr>
        <w:t>重要活动</w:t>
      </w:r>
      <w:bookmarkEnd w:id="0"/>
      <w:bookmarkEnd w:id="1"/>
      <w:bookmarkEnd w:id="2"/>
      <w:bookmarkEnd w:id="3"/>
      <w:bookmarkEnd w:id="4"/>
      <w:bookmarkEnd w:id="5"/>
      <w:bookmarkEnd w:id="6"/>
      <w:bookmarkEnd w:id="7"/>
      <w:bookmarkEnd w:id="8"/>
    </w:p>
    <w:p w14:paraId="1E6AEA49">
      <w:pPr>
        <w:jc w:val="center"/>
        <w:rPr>
          <w:rFonts w:hint="eastAsia" w:ascii="楷体_GB2312" w:hAnsi="宋体" w:eastAsia="楷体_GB2312"/>
          <w:b/>
          <w:sz w:val="24"/>
        </w:rPr>
      </w:pPr>
      <w:r>
        <w:rPr>
          <w:rFonts w:hint="eastAsia" w:ascii="楷体_GB2312" w:hAnsi="宋体" w:eastAsia="楷体_GB2312"/>
          <w:b/>
          <w:sz w:val="24"/>
        </w:rPr>
        <w:t>（20</w:t>
      </w:r>
      <w:r>
        <w:rPr>
          <w:rFonts w:hint="eastAsia" w:ascii="楷体_GB2312" w:hAnsi="宋体" w:eastAsia="楷体_GB2312"/>
          <w:b/>
          <w:sz w:val="24"/>
          <w:lang w:val="en-US" w:eastAsia="zh-CN"/>
        </w:rPr>
        <w:t>25</w:t>
      </w:r>
      <w:r>
        <w:rPr>
          <w:rFonts w:hint="eastAsia" w:ascii="楷体_GB2312" w:hAnsi="宋体" w:eastAsia="楷体_GB2312"/>
          <w:b/>
          <w:sz w:val="24"/>
        </w:rPr>
        <w:t>年</w:t>
      </w:r>
      <w:r>
        <w:rPr>
          <w:rFonts w:hint="eastAsia" w:ascii="楷体_GB2312" w:hAnsi="宋体" w:eastAsia="楷体_GB2312"/>
          <w:b/>
          <w:sz w:val="24"/>
          <w:lang w:val="en-US" w:eastAsia="zh-CN"/>
        </w:rPr>
        <w:t>3</w:t>
      </w:r>
      <w:r>
        <w:rPr>
          <w:rFonts w:hint="eastAsia" w:ascii="楷体_GB2312" w:hAnsi="宋体" w:eastAsia="楷体_GB2312"/>
          <w:b/>
          <w:sz w:val="24"/>
        </w:rPr>
        <w:t>月1日—20</w:t>
      </w:r>
      <w:r>
        <w:rPr>
          <w:rFonts w:hint="eastAsia" w:ascii="楷体_GB2312" w:hAnsi="宋体" w:eastAsia="楷体_GB2312"/>
          <w:b/>
          <w:sz w:val="24"/>
          <w:lang w:val="en-US" w:eastAsia="zh-CN"/>
        </w:rPr>
        <w:t>25</w:t>
      </w:r>
      <w:r>
        <w:rPr>
          <w:rFonts w:hint="eastAsia" w:ascii="楷体_GB2312" w:hAnsi="宋体" w:eastAsia="楷体_GB2312"/>
          <w:b/>
          <w:sz w:val="24"/>
        </w:rPr>
        <w:t>年</w:t>
      </w:r>
      <w:r>
        <w:rPr>
          <w:rFonts w:hint="eastAsia" w:ascii="楷体_GB2312" w:hAnsi="宋体" w:eastAsia="楷体_GB2312"/>
          <w:b/>
          <w:sz w:val="24"/>
          <w:lang w:val="en-US" w:eastAsia="zh-CN"/>
        </w:rPr>
        <w:t>4</w:t>
      </w:r>
      <w:r>
        <w:rPr>
          <w:rFonts w:hint="eastAsia" w:ascii="楷体_GB2312" w:hAnsi="宋体" w:eastAsia="楷体_GB2312"/>
          <w:b/>
          <w:sz w:val="24"/>
        </w:rPr>
        <w:t>月</w:t>
      </w:r>
      <w:r>
        <w:rPr>
          <w:rFonts w:hint="eastAsia" w:ascii="楷体_GB2312" w:hAnsi="宋体" w:eastAsia="楷体_GB2312"/>
          <w:b/>
          <w:sz w:val="24"/>
          <w:lang w:val="en-US" w:eastAsia="zh-CN"/>
        </w:rPr>
        <w:t>30</w:t>
      </w:r>
      <w:r>
        <w:rPr>
          <w:rFonts w:hint="eastAsia" w:ascii="楷体_GB2312" w:hAnsi="宋体" w:eastAsia="楷体_GB2312"/>
          <w:b/>
          <w:sz w:val="24"/>
        </w:rPr>
        <w:t>日）</w:t>
      </w:r>
    </w:p>
    <w:p w14:paraId="74C9983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p>
    <w:p w14:paraId="53A95C0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·3月6日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海门区妇女第十八次代表大会召开。区委书记、区长沈旭东出席开幕式并讲话，希望全区各级妇联组织和广大妇女同志要赓续优良传统，与时代同呼吸、与海门共发展，凝神聚力、奋斗实干，奋力书写海门妇女事业高质量发展的精彩答卷。</w:t>
      </w:r>
    </w:p>
    <w:p w14:paraId="1FE5B0C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w:t>
      </w:r>
      <w:r>
        <w:rPr>
          <w:rFonts w:hint="eastAsia" w:ascii="仿宋_GB2312" w:hAnsi="仿宋_GB2312" w:eastAsia="仿宋_GB2312" w:cs="仿宋_GB2312"/>
          <w:i w:val="0"/>
          <w:iCs w:val="0"/>
          <w:caps w:val="0"/>
          <w:color w:val="333333"/>
          <w:spacing w:val="0"/>
          <w:sz w:val="24"/>
          <w:szCs w:val="24"/>
          <w:shd w:val="clear" w:color="auto" w:fill="FFFFFF"/>
          <w:lang w:val="en-US" w:eastAsia="zh-CN"/>
        </w:rPr>
        <w:t>3月8日，区委常委会召开会议，学习贯彻习近平总书记近期重要讲话精神和有关会议精神，研究我区贯彻落实工作。区委书记、区长沈旭东主持会议并讲话。</w:t>
      </w:r>
    </w:p>
    <w:p w14:paraId="492F729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w:t>
      </w:r>
      <w:r>
        <w:rPr>
          <w:rFonts w:hint="eastAsia" w:ascii="仿宋_GB2312" w:hAnsi="仿宋_GB2312" w:eastAsia="仿宋_GB2312" w:cs="仿宋_GB2312"/>
          <w:i w:val="0"/>
          <w:iCs w:val="0"/>
          <w:caps w:val="0"/>
          <w:color w:val="333333"/>
          <w:spacing w:val="0"/>
          <w:sz w:val="24"/>
          <w:szCs w:val="24"/>
          <w:shd w:val="clear" w:color="auto" w:fill="FFFFFF"/>
          <w:lang w:val="en-US" w:eastAsia="zh-CN"/>
        </w:rPr>
        <w:t>3月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19</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南通市政协主席周伟文率队来海门调研，了解海门经济社会发展和政协工作情况，走访政协委员，听取意见建议，推动学习全国两会精神走深走实、见行见效。南通市政协秘书长邵怀德，区委书记、区长沈旭东参加活动。区政协主席施俊主持座谈交流会并汇报区政协工作情况。</w:t>
      </w:r>
    </w:p>
    <w:p w14:paraId="3A2AEAC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w:t>
      </w:r>
      <w:r>
        <w:rPr>
          <w:rFonts w:hint="eastAsia" w:ascii="仿宋_GB2312" w:hAnsi="仿宋_GB2312" w:eastAsia="仿宋_GB2312" w:cs="仿宋_GB2312"/>
          <w:i w:val="0"/>
          <w:iCs w:val="0"/>
          <w:caps w:val="0"/>
          <w:color w:val="333333"/>
          <w:spacing w:val="0"/>
          <w:sz w:val="24"/>
          <w:szCs w:val="24"/>
          <w:shd w:val="clear" w:color="auto" w:fill="FFFFFF"/>
          <w:lang w:val="en-US" w:eastAsia="zh-CN"/>
        </w:rPr>
        <w:t>3月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20</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，区委常委会召开会议，学习贯彻习近平总书记参加十四届全国人大三次会议江苏代表团审议时的重要讲话精神，以及省、市相关会议精神，研究我区贯彻落实工作。区委书记、区长沈旭东主持会议并讲话。</w:t>
      </w:r>
    </w:p>
    <w:p w14:paraId="2B0E85C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w:t>
      </w:r>
      <w:r>
        <w:rPr>
          <w:rFonts w:hint="eastAsia" w:ascii="仿宋_GB2312" w:hAnsi="仿宋_GB2312" w:eastAsia="仿宋_GB2312" w:cs="仿宋_GB2312"/>
          <w:i w:val="0"/>
          <w:iCs w:val="0"/>
          <w:caps w:val="0"/>
          <w:color w:val="333333"/>
          <w:spacing w:val="0"/>
          <w:sz w:val="24"/>
          <w:szCs w:val="24"/>
          <w:shd w:val="clear" w:color="auto" w:fill="FFFFFF"/>
          <w:lang w:val="en-US" w:eastAsia="zh-CN"/>
        </w:rPr>
        <w:t>3月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21</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区委常委会会议暨党的建设工作领导小组会议召开，学习贯彻习近平总书记关于深入贯彻中央八项规定精神学习教育的重要讲话和重要指示精神，全面落实中央和省、市委党的建设工作领导小组会议部署要求，研究部署全区学习教育工作。区委书记、区长沈旭东主持会议并讲话。</w:t>
      </w:r>
    </w:p>
    <w:p w14:paraId="31E1B42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w:t>
      </w:r>
      <w:r>
        <w:rPr>
          <w:rFonts w:hint="eastAsia" w:ascii="仿宋_GB2312" w:hAnsi="仿宋_GB2312" w:eastAsia="仿宋_GB2312" w:cs="仿宋_GB2312"/>
          <w:i w:val="0"/>
          <w:iCs w:val="0"/>
          <w:caps w:val="0"/>
          <w:color w:val="333333"/>
          <w:spacing w:val="0"/>
          <w:sz w:val="24"/>
          <w:szCs w:val="24"/>
          <w:shd w:val="clear" w:color="auto" w:fill="FFFFFF"/>
          <w:lang w:val="en-US" w:eastAsia="zh-CN"/>
        </w:rPr>
        <w:t>3月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22</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全区武装工作暨党管武装工作述职会议召开，深入学习贯彻习近平强军思想和《中共中央关于坚持党管武装加强新时代人民武装工作的意见》，传达学习上级有关会议精神，部署安排下阶段重点工作。区委书记、区长、区人武部党委第一书记沈旭东出席会议并讲话。</w:t>
      </w:r>
    </w:p>
    <w:p w14:paraId="669CC2B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w:t>
      </w:r>
      <w:r>
        <w:rPr>
          <w:rFonts w:hint="eastAsia" w:ascii="仿宋_GB2312" w:hAnsi="仿宋_GB2312" w:eastAsia="仿宋_GB2312" w:cs="仿宋_GB2312"/>
          <w:i w:val="0"/>
          <w:iCs w:val="0"/>
          <w:caps w:val="0"/>
          <w:color w:val="333333"/>
          <w:spacing w:val="0"/>
          <w:sz w:val="24"/>
          <w:szCs w:val="24"/>
          <w:shd w:val="clear" w:color="auto" w:fill="FFFFFF"/>
          <w:lang w:val="en-US" w:eastAsia="zh-CN"/>
        </w:rPr>
        <w:t>3月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23</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区委书记、区长沈旭东赴三星镇调研。他强调，要深入学习贯彻习近平总书记参加十四届全国人大三次会议江苏代表团审议时的重要讲话和全国两会精神，全面落实上级最新部署和工作要求，坚持“科产城人”融合发展，埋头苦干、真抓实干，加快推动产业提档升级，在全区高质量发展大局中勇挑大梁、多作贡献。</w:t>
      </w:r>
    </w:p>
    <w:p w14:paraId="0C0DA4B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w:t>
      </w:r>
      <w:r>
        <w:rPr>
          <w:rFonts w:hint="eastAsia" w:ascii="仿宋_GB2312" w:hAnsi="仿宋_GB2312" w:eastAsia="仿宋_GB2312" w:cs="仿宋_GB2312"/>
          <w:i w:val="0"/>
          <w:iCs w:val="0"/>
          <w:caps w:val="0"/>
          <w:color w:val="333333"/>
          <w:spacing w:val="0"/>
          <w:sz w:val="24"/>
          <w:szCs w:val="24"/>
          <w:shd w:val="clear" w:color="auto" w:fill="FFFFFF"/>
          <w:lang w:val="en-US" w:eastAsia="zh-CN"/>
        </w:rPr>
        <w:t>3月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24</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，我区举行项目签约仪式，5个项目落户海门港新区，总投资23.5亿元。区委书记、区长沈旭东见证项目签约，并会见各项目投资方负责人。</w:t>
      </w:r>
    </w:p>
    <w:p w14:paraId="56EE0FA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w:t>
      </w:r>
      <w:r>
        <w:rPr>
          <w:rFonts w:hint="eastAsia" w:ascii="仿宋_GB2312" w:hAnsi="仿宋_GB2312" w:eastAsia="仿宋_GB2312" w:cs="仿宋_GB2312"/>
          <w:i w:val="0"/>
          <w:iCs w:val="0"/>
          <w:caps w:val="0"/>
          <w:color w:val="333333"/>
          <w:spacing w:val="0"/>
          <w:sz w:val="24"/>
          <w:szCs w:val="24"/>
          <w:shd w:val="clear" w:color="auto" w:fill="FFFFFF"/>
          <w:lang w:val="en-US" w:eastAsia="zh-CN"/>
        </w:rPr>
        <w:t>3月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25</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全区组织工作会议召开，深入学习贯彻习近平总书记对党的建设和组织工作的重要指示精神，全面落实全国和省市组织部长会议部署，总结2024年工作，部署下阶段重点任务。区委书记、区长沈旭东对组织工作作出批示。</w:t>
      </w:r>
    </w:p>
    <w:p w14:paraId="7131B9F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w:t>
      </w:r>
      <w:r>
        <w:rPr>
          <w:rFonts w:hint="eastAsia" w:ascii="仿宋_GB2312" w:hAnsi="仿宋_GB2312" w:eastAsia="仿宋_GB2312" w:cs="仿宋_GB2312"/>
          <w:i w:val="0"/>
          <w:iCs w:val="0"/>
          <w:caps w:val="0"/>
          <w:color w:val="333333"/>
          <w:spacing w:val="0"/>
          <w:sz w:val="24"/>
          <w:szCs w:val="24"/>
          <w:shd w:val="clear" w:color="auto" w:fill="FFFFFF"/>
          <w:lang w:val="en-US" w:eastAsia="zh-CN"/>
        </w:rPr>
        <w:t>3月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25</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市委书记吴新明深入海门区，调研文体旅融合发展工作。他强调，要深入学习贯彻习近平总书记在参加十四届全国人大三次会议江苏代表团审议时的重要讲话和全国两会精神，牢牢把握“在促进全体人民共同富裕上作示范”的丰富内涵，坚持以人民为中心的发展思想，高质高效推进项目建设，创新多元化消费场景，优化文化产品和服务供给，打造文体旅融合新业态，更好满足人民群众高质量精神文化需求。市委常委、市委秘书长童剑，市政协副主席任新峰参加调研。区委书记、区长沈旭东参加活动。</w:t>
      </w:r>
    </w:p>
    <w:p w14:paraId="345F208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w:t>
      </w:r>
      <w:r>
        <w:rPr>
          <w:rFonts w:hint="eastAsia" w:ascii="仿宋_GB2312" w:hAnsi="仿宋_GB2312" w:eastAsia="仿宋_GB2312" w:cs="仿宋_GB2312"/>
          <w:i w:val="0"/>
          <w:iCs w:val="0"/>
          <w:caps w:val="0"/>
          <w:color w:val="333333"/>
          <w:spacing w:val="0"/>
          <w:sz w:val="24"/>
          <w:szCs w:val="24"/>
          <w:shd w:val="clear" w:color="auto" w:fill="FFFFFF"/>
          <w:lang w:val="en-US" w:eastAsia="zh-CN"/>
        </w:rPr>
        <w:t>3月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26</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海门开发区与天津大学合成生物前沿研究院、江苏尔海生物医药科技股份有限公司签署三方合作协议，β-胡萝卜素项目正式落户。区委书记、区长沈旭东见证签约，并会见中科院院士、合成生物技术全国重点实验室主任、天津大学教授元英进一行。</w:t>
      </w:r>
    </w:p>
    <w:p w14:paraId="6CE30AB3">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w:t>
      </w:r>
      <w:r>
        <w:rPr>
          <w:rFonts w:hint="eastAsia" w:ascii="仿宋_GB2312" w:hAnsi="仿宋_GB2312" w:eastAsia="仿宋_GB2312" w:cs="仿宋_GB2312"/>
          <w:i w:val="0"/>
          <w:iCs w:val="0"/>
          <w:caps w:val="0"/>
          <w:color w:val="333333"/>
          <w:spacing w:val="0"/>
          <w:sz w:val="24"/>
          <w:szCs w:val="24"/>
          <w:shd w:val="clear" w:color="auto" w:fill="FFFFFF"/>
          <w:lang w:val="en-US" w:eastAsia="zh-CN"/>
        </w:rPr>
        <w:t>3月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28</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由新华网、中国金融信息中心和海门区人民政府联合举办的“海纳医萃·药创未来”长江口产业创新协同交流会（海门）生物医药专场活动在沪举行。中国科学院院士、生命有机化学国家重点实验室主任马大为作主旨演讲。新华社中国金融信息中心总裁张凤明，区委书记、区长沈旭东分别致辞。新华社江苏分社副社长徐华，上海市生物医药行业协会会长傅大煦，上海市生物医药科技产业促进中心副主任任大伟，上海社科院原副院长、南通大学长三角现代化研究院院长何建华参加活动。</w:t>
      </w:r>
    </w:p>
    <w:p w14:paraId="396D522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w:t>
      </w:r>
      <w:r>
        <w:rPr>
          <w:rFonts w:hint="eastAsia" w:ascii="仿宋_GB2312" w:hAnsi="仿宋_GB2312" w:eastAsia="仿宋_GB2312" w:cs="仿宋_GB2312"/>
          <w:i w:val="0"/>
          <w:iCs w:val="0"/>
          <w:caps w:val="0"/>
          <w:color w:val="333333"/>
          <w:spacing w:val="0"/>
          <w:sz w:val="24"/>
          <w:szCs w:val="24"/>
          <w:shd w:val="clear" w:color="auto" w:fill="FFFFFF"/>
          <w:lang w:val="en-US" w:eastAsia="zh-CN"/>
        </w:rPr>
        <w:t>3月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30</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区委书记、区长沈旭东专题调研项目建设工作。他强调，要始终把招商引资和项目建设作为“头版头条”，强化责任意识，发扬拼劲盯劲，一刻不松大抓招商、猛攻项目，以一批大项目、好项目的落地建设、竣工转化、达产满产支撑海门高质量发展行稳致远。</w:t>
      </w:r>
    </w:p>
    <w:p w14:paraId="684F91E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w:t>
      </w:r>
      <w:r>
        <w:rPr>
          <w:rFonts w:hint="eastAsia" w:ascii="仿宋_GB2312" w:hAnsi="仿宋_GB2312" w:eastAsia="仿宋_GB2312" w:cs="仿宋_GB2312"/>
          <w:i w:val="0"/>
          <w:iCs w:val="0"/>
          <w:caps w:val="0"/>
          <w:color w:val="333333"/>
          <w:spacing w:val="0"/>
          <w:sz w:val="24"/>
          <w:szCs w:val="24"/>
          <w:shd w:val="clear" w:color="auto" w:fill="FFFFFF"/>
          <w:lang w:val="en-US" w:eastAsia="zh-CN"/>
        </w:rPr>
        <w:t>3月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30</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我区召开经济形势分析会，深入学习贯彻习近平总书记参加十四届全国人大三次会议江苏代表团审议时重要讲话精神和全国两会精神，按照省市委部署要求，分析当前经济运行情况，研究部署下阶段重点工作。区委书记、区长沈旭东主持会议并讲话。</w:t>
      </w:r>
    </w:p>
    <w:p w14:paraId="626C6B0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w:t>
      </w:r>
      <w:r>
        <w:rPr>
          <w:rFonts w:hint="eastAsia" w:ascii="仿宋_GB2312" w:hAnsi="仿宋_GB2312" w:eastAsia="仿宋_GB2312" w:cs="仿宋_GB2312"/>
          <w:i w:val="0"/>
          <w:iCs w:val="0"/>
          <w:caps w:val="0"/>
          <w:color w:val="333333"/>
          <w:spacing w:val="0"/>
          <w:sz w:val="24"/>
          <w:szCs w:val="24"/>
          <w:shd w:val="clear" w:color="auto" w:fill="FFFFFF"/>
          <w:lang w:val="en-US" w:eastAsia="zh-CN"/>
        </w:rPr>
        <w:t>3月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31</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区政府召开廉政工作会议。区委书记、区长沈旭东出席会议并讲话，强调要深入学习贯彻习近平总书记在二十届中央纪委四次全会上的重要讲话精神和党中央关于全面从严治党的战略部署，全面落实国务院和省、市政府廉政工作会议精神，按照十五届区纪委五次全会要求，坚定不移把政府系统党风廉政建设向纵深推进，以全面从严治党新成效为全区高质量发展提供坚强保障。</w:t>
      </w:r>
    </w:p>
    <w:p w14:paraId="56D26E1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·4</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12</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区委党的建设工作领导小组召开会议，深入学习贯彻习近平总书记关于党的建设的重要思想、关于党的自我革命的重要思想，认真落实省、市委党的建设工作领导小组会议要求，研究部署全区党建工作，为全面推进中国式现代化海门新实践提供坚强政治保证。区委书记、区长、区委党的建设工作领导小组组长沈旭东主持会议并讲话。区委党建工作领导小组成员参加会议。</w:t>
      </w:r>
    </w:p>
    <w:p w14:paraId="00B8377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·4</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12</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，区委常委会召开会议，学习贯彻习近平总书记近期重要讲话重要文章精神，研究部署当前重点工作。区委书记、区长沈旭东主持会议并讲话。</w:t>
      </w:r>
    </w:p>
    <w:p w14:paraId="5103FC0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·4</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16</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区委书记、区长沈旭东走访部分外贸企业，与企业负责人面对面交流，了解经营情况、听取意见建议、会办解决问题。他强调，要深入学习贯彻习近平总书记对江苏工作重要讲话精神，切实把思想和行动统一到党中央、省市委决策部署上来，坚定发展信心，保持战略定力，主动靠前服务，政企同心、携手并进，积极落实促进外贸稳定增长政策措施，不断拓展外贸发展新空间、激活外贸增长新动能，为全区高质量发展提供有力支撑。</w:t>
      </w:r>
    </w:p>
    <w:p w14:paraId="5CE0C1B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·4</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20</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动画行业的盛会——第六届东布洲动画周闭幕。江苏省影视动漫协会会长于国民，江苏省文化发展基金会理事长姜龙，市委常委、宣传部部长陈冬梅，区委书记、区长沈旭东，市教育局局长孙剑波，区委副书记杨春红出席闭幕式。</w:t>
      </w:r>
    </w:p>
    <w:p w14:paraId="5E80A5A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·4</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21</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，海门区人民政府与中国外运华东有限公司签署合作框架协议。区委书记、区长沈旭东与中国外运华东有限公司党委书记、总经理沈晓斌会谈并见证签约。</w:t>
      </w:r>
    </w:p>
    <w:p w14:paraId="3530154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·4</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24</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省政协党组副书记、副主席杨岳来海，围绕“强化企业创新主体地位、推动科技创新和产业创新融合情况”，对我区相关工作开展专题调研。省政协副秘书长、办公厅主任朱从明，市政协主席周伟文，市政协秘书长邵怀德，区委书记、区长沈旭东，区政协主席施俊参加调研。</w:t>
      </w:r>
    </w:p>
    <w:p w14:paraId="09C2BE7C">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w:t>
      </w:r>
      <w:r>
        <w:rPr>
          <w:rFonts w:hint="eastAsia" w:ascii="仿宋_GB2312" w:hAnsi="仿宋_GB2312" w:eastAsia="仿宋_GB2312" w:cs="仿宋_GB2312"/>
          <w:i w:val="0"/>
          <w:iCs w:val="0"/>
          <w:caps w:val="0"/>
          <w:color w:val="333333"/>
          <w:spacing w:val="0"/>
          <w:sz w:val="24"/>
          <w:szCs w:val="24"/>
          <w:shd w:val="clear" w:color="auto" w:fill="FFFFFF"/>
          <w:lang w:val="en-US" w:eastAsia="zh-CN"/>
        </w:rPr>
        <w:t>4月23日，南通市委常委、市纪委书记、市监委主任汤军来海调研。汤军强调，要深入学习贯彻习近平总书记对江苏工作重要讲话精神，认真贯彻落实中央纪委四次全会精神和省纪委五次全会、市纪委五次全会部署，忠实履行协助职责和监督专责，扎实开展深入贯彻中央八项规定精神学习教育，持续深化群众身边不正之风和腐败问题集中整治，纵深推进正风肃纪反腐，以全面从严治党新成效为全市勇挑大梁提供坚强保障。区委书记、区长沈旭东，市纪委副书记、市监委副主任桑建美，市纪委常委陈德军参加调研。</w:t>
      </w:r>
    </w:p>
    <w:p w14:paraId="3363283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w:t>
      </w:r>
      <w:r>
        <w:rPr>
          <w:rFonts w:hint="eastAsia" w:ascii="仿宋_GB2312" w:hAnsi="仿宋_GB2312" w:eastAsia="仿宋_GB2312" w:cs="仿宋_GB2312"/>
          <w:i w:val="0"/>
          <w:iCs w:val="0"/>
          <w:caps w:val="0"/>
          <w:color w:val="333333"/>
          <w:spacing w:val="0"/>
          <w:sz w:val="24"/>
          <w:szCs w:val="24"/>
          <w:shd w:val="clear" w:color="auto" w:fill="FFFFFF"/>
          <w:lang w:val="en-US" w:eastAsia="zh-CN"/>
        </w:rPr>
        <w:t>4月2</w:t>
      </w:r>
      <w:r>
        <w:rPr>
          <w:rFonts w:hint="eastAsia" w:ascii="仿宋_GB2312" w:hAnsi="仿宋_GB2312" w:eastAsia="仿宋_GB2312" w:cs="仿宋_GB2312"/>
          <w:i w:val="0"/>
          <w:iCs w:val="0"/>
          <w:caps w:val="0"/>
          <w:color w:val="333333"/>
          <w:spacing w:val="0"/>
          <w:sz w:val="24"/>
          <w:szCs w:val="24"/>
          <w:shd w:val="clear" w:color="auto" w:fill="FFFFFF"/>
          <w:lang w:val="en-US" w:eastAsia="zh-CN"/>
        </w:rPr>
        <w:t>6</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区委书记、区长沈旭东主持召开全区服务业招商工作推进会。他强调，要始终坚持先进制造业与现代服务业双轮驱动，坚定信心决心，抢抓发展机遇，强化项目招引，真抓实干、紧抓快干，奋力推动现代服务业繁荣发展，为海门构建现代化产业体系、巩固和增强经济回升向好态势提供有力支撑。</w:t>
      </w:r>
    </w:p>
    <w:p w14:paraId="0491B07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w:t>
      </w:r>
      <w:r>
        <w:rPr>
          <w:rFonts w:hint="eastAsia" w:ascii="仿宋_GB2312" w:hAnsi="仿宋_GB2312" w:eastAsia="仿宋_GB2312" w:cs="仿宋_GB2312"/>
          <w:i w:val="0"/>
          <w:iCs w:val="0"/>
          <w:caps w:val="0"/>
          <w:color w:val="333333"/>
          <w:spacing w:val="0"/>
          <w:sz w:val="24"/>
          <w:szCs w:val="24"/>
          <w:shd w:val="clear" w:color="auto" w:fill="FFFFFF"/>
          <w:lang w:val="en-US" w:eastAsia="zh-CN"/>
        </w:rPr>
        <w:t>4月2</w:t>
      </w:r>
      <w:r>
        <w:rPr>
          <w:rFonts w:hint="eastAsia" w:ascii="仿宋_GB2312" w:hAnsi="仿宋_GB2312" w:eastAsia="仿宋_GB2312" w:cs="仿宋_GB2312"/>
          <w:i w:val="0"/>
          <w:iCs w:val="0"/>
          <w:caps w:val="0"/>
          <w:color w:val="333333"/>
          <w:spacing w:val="0"/>
          <w:sz w:val="24"/>
          <w:szCs w:val="24"/>
          <w:shd w:val="clear" w:color="auto" w:fill="FFFFFF"/>
          <w:lang w:val="en-US" w:eastAsia="zh-CN"/>
        </w:rPr>
        <w:t>7</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在收听收看省、市防汛抗旱工作视频会议后，我区召开续会，部署当前防汛抗旱工作。区委书记、区长沈旭东主持会议，强调全区上下要充分认识防汛抗旱形势的严峻性、复杂性，牢固树立“宁可十防九空、不可万一失防”的理念，突出重点、精准施策，全面落实防御措施，全力筑牢安全防线，切实保障人民群众生命财产安全和社会大局稳定。</w:t>
      </w:r>
    </w:p>
    <w:p w14:paraId="63F4F12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w:t>
      </w:r>
      <w:r>
        <w:rPr>
          <w:rFonts w:hint="eastAsia" w:ascii="仿宋_GB2312" w:hAnsi="仿宋_GB2312" w:eastAsia="仿宋_GB2312" w:cs="仿宋_GB2312"/>
          <w:i w:val="0"/>
          <w:iCs w:val="0"/>
          <w:caps w:val="0"/>
          <w:color w:val="333333"/>
          <w:spacing w:val="0"/>
          <w:sz w:val="24"/>
          <w:szCs w:val="24"/>
          <w:shd w:val="clear" w:color="auto" w:fill="FFFFFF"/>
          <w:lang w:val="en-US" w:eastAsia="zh-CN"/>
        </w:rPr>
        <w:t>4月2</w:t>
      </w:r>
      <w:r>
        <w:rPr>
          <w:rFonts w:hint="eastAsia" w:ascii="仿宋_GB2312" w:hAnsi="仿宋_GB2312" w:eastAsia="仿宋_GB2312" w:cs="仿宋_GB2312"/>
          <w:i w:val="0"/>
          <w:iCs w:val="0"/>
          <w:caps w:val="0"/>
          <w:color w:val="333333"/>
          <w:spacing w:val="0"/>
          <w:sz w:val="24"/>
          <w:szCs w:val="24"/>
          <w:shd w:val="clear" w:color="auto" w:fill="FFFFFF"/>
          <w:lang w:val="en-US" w:eastAsia="zh-CN"/>
        </w:rPr>
        <w:t>8</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，2025苏商·书记面对面暨海门跨江融合产业对接恳谈会举行。区委书记、区长沈旭东，江苏省苏商发展促进会常务副会长俞文勤在会上分别讲话。</w:t>
      </w:r>
    </w:p>
    <w:p w14:paraId="7B0B814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w:t>
      </w:r>
      <w:r>
        <w:rPr>
          <w:rFonts w:hint="eastAsia" w:ascii="仿宋_GB2312" w:hAnsi="仿宋_GB2312" w:eastAsia="仿宋_GB2312" w:cs="仿宋_GB2312"/>
          <w:i w:val="0"/>
          <w:iCs w:val="0"/>
          <w:caps w:val="0"/>
          <w:color w:val="333333"/>
          <w:spacing w:val="0"/>
          <w:sz w:val="24"/>
          <w:szCs w:val="24"/>
          <w:shd w:val="clear" w:color="auto" w:fill="FFFFFF"/>
          <w:lang w:val="en-US" w:eastAsia="zh-CN"/>
        </w:rPr>
        <w:t>4月</w:t>
      </w:r>
      <w:r>
        <w:rPr>
          <w:rFonts w:hint="eastAsia" w:ascii="仿宋_GB2312" w:hAnsi="仿宋_GB2312" w:eastAsia="仿宋_GB2312" w:cs="仿宋_GB2312"/>
          <w:i w:val="0"/>
          <w:iCs w:val="0"/>
          <w:caps w:val="0"/>
          <w:color w:val="333333"/>
          <w:spacing w:val="0"/>
          <w:sz w:val="24"/>
          <w:szCs w:val="24"/>
          <w:shd w:val="clear" w:color="auto" w:fill="FFFFFF"/>
          <w:lang w:val="en-US" w:eastAsia="zh-CN"/>
        </w:rPr>
        <w:t>30</w:t>
      </w:r>
      <w:r>
        <w:rPr>
          <w:rFonts w:hint="eastAsia" w:ascii="仿宋_GB2312" w:hAnsi="仿宋_GB2312" w:eastAsia="仿宋_GB2312" w:cs="仿宋_GB2312"/>
          <w:i w:val="0"/>
          <w:iCs w:val="0"/>
          <w:caps w:val="0"/>
          <w:color w:val="333333"/>
          <w:spacing w:val="0"/>
          <w:sz w:val="24"/>
          <w:szCs w:val="24"/>
          <w:shd w:val="clear" w:color="auto" w:fill="FFFFFF"/>
          <w:lang w:val="en-US" w:eastAsia="zh-CN"/>
        </w:rPr>
        <w:t>日</w:t>
      </w:r>
      <w:r>
        <w:rPr>
          <w:rFonts w:hint="eastAsia" w:ascii="仿宋_GB2312" w:hAnsi="仿宋_GB2312" w:eastAsia="仿宋_GB2312" w:cs="仿宋_GB2312"/>
          <w:i w:val="0"/>
          <w:iCs w:val="0"/>
          <w:caps w:val="0"/>
          <w:color w:val="333333"/>
          <w:spacing w:val="0"/>
          <w:sz w:val="24"/>
          <w:szCs w:val="24"/>
          <w:shd w:val="clear" w:color="auto" w:fill="FFFFFF"/>
          <w:lang w:val="en-US" w:eastAsia="zh-CN"/>
        </w:rPr>
        <w:t>，区委书记、区长沈旭东主持召开专题会议，听取全区文旅工作情况汇报，分析面临形势和存在问题，安排部署下阶段工作。他强调，要深入学习贯彻习近平文化思想，落实全国、全省旅游发展大会和全市文化体育旅游产业发展大会部署，进一步强化产业思维、项目思维，解放思想、开拓创新，“一业一策”引育高质量文旅产业项目，加快塑造发展新动能新优势，为海门经济持续回升向好提供有力支撑。</w:t>
      </w:r>
    </w:p>
    <w:sectPr>
      <w:footerReference r:id="rId3" w:type="default"/>
      <w:pgSz w:w="11906" w:h="16838"/>
      <w:pgMar w:top="1814" w:right="1531" w:bottom="1984" w:left="1531"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魏碑_GBK">
    <w:altName w:val="方正小标宋_GBK"/>
    <w:panose1 w:val="03000509000000000000"/>
    <w:charset w:val="86"/>
    <w:family w:val="script"/>
    <w:pitch w:val="default"/>
    <w:sig w:usb0="00000000" w:usb1="00000000" w:usb2="0000001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行楷">
    <w:altName w:val="微软雅黑"/>
    <w:panose1 w:val="02010800040101010101"/>
    <w:charset w:val="86"/>
    <w:family w:val="auto"/>
    <w:pitch w:val="default"/>
    <w:sig w:usb0="00000000" w:usb1="00000000" w:usb2="00000000" w:usb3="00000000" w:csb0="00040000" w:csb1="00000000"/>
  </w:font>
  <w:font w:name="方正仿宋_GBK">
    <w:panose1 w:val="02000000000000000000"/>
    <w:charset w:val="86"/>
    <w:family w:val="script"/>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464C3">
    <w:pPr>
      <w:pStyle w:val="3"/>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8577D8">
                          <w:pPr>
                            <w:pStyle w:val="3"/>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  \* MERGEFORMAT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2</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D8577D8">
                    <w:pPr>
                      <w:pStyle w:val="3"/>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  \* MERGEFORMAT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2</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DC40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adjustRightInd w:val="0"/>
      <w:snapToGrid/>
      <w:ind w:firstLine="0"/>
      <w:jc w:val="left"/>
    </w:pPr>
    <w:rPr>
      <w:spacing w:val="-25"/>
    </w:rPr>
  </w:style>
  <w:style w:type="paragraph" w:styleId="3">
    <w:name w:val="footer"/>
    <w:basedOn w:val="1"/>
    <w:qFormat/>
    <w:uiPriority w:val="0"/>
    <w:pPr>
      <w:tabs>
        <w:tab w:val="center" w:pos="4153"/>
        <w:tab w:val="right" w:pos="8306"/>
      </w:tabs>
      <w:spacing w:line="400" w:lineRule="atLeast"/>
      <w:ind w:firstLine="0"/>
      <w:jc w:val="center"/>
    </w:pPr>
    <w:rPr>
      <w:rFonts w:eastAsia="方正仿宋_GBK"/>
      <w:snapToGrid w:val="0"/>
      <w:kern w:val="0"/>
      <w:sz w:val="28"/>
      <w:szCs w:val="20"/>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page number"/>
    <w:basedOn w:val="6"/>
    <w:semiHidden/>
    <w:unhideWhenUsed/>
    <w:qFormat/>
    <w:uiPriority w:val="99"/>
  </w:style>
  <w:style w:type="paragraph" w:customStyle="1" w:styleId="8">
    <w:name w:val="标题1"/>
    <w:basedOn w:val="1"/>
    <w:next w:val="1"/>
    <w:qFormat/>
    <w:uiPriority w:val="0"/>
    <w:pPr>
      <w:tabs>
        <w:tab w:val="left" w:pos="9193"/>
        <w:tab w:val="left" w:pos="9827"/>
      </w:tabs>
      <w:spacing w:line="700" w:lineRule="atLeast"/>
      <w:ind w:firstLine="0"/>
      <w:jc w:val="center"/>
    </w:pPr>
    <w:rPr>
      <w:rFonts w:eastAsia="方正小标宋_GBK"/>
      <w:sz w:val="44"/>
    </w:rPr>
  </w:style>
  <w:style w:type="paragraph" w:customStyle="1" w:styleId="9">
    <w:name w:val="线型"/>
    <w:basedOn w:val="10"/>
    <w:autoRedefine/>
    <w:qFormat/>
    <w:uiPriority w:val="0"/>
    <w:pPr>
      <w:spacing w:line="240" w:lineRule="auto"/>
      <w:ind w:left="0" w:firstLine="0"/>
      <w:jc w:val="center"/>
    </w:pPr>
  </w:style>
  <w:style w:type="paragraph" w:customStyle="1" w:styleId="10">
    <w:name w:val="抄送栏"/>
    <w:basedOn w:val="1"/>
    <w:autoRedefine/>
    <w:qFormat/>
    <w:uiPriority w:val="0"/>
    <w:pPr>
      <w:adjustRightInd w:val="0"/>
      <w:spacing w:line="454" w:lineRule="atLeast"/>
      <w:ind w:left="1310" w:right="357" w:hanging="953"/>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0</Words>
  <Characters>0</Characters>
  <Lines>0</Lines>
  <Paragraphs>0</Paragraphs>
  <TotalTime>3</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2025-05-14T00:57:53Z</dcterms:created>
  <dc:creator>Lenovo</dc:creator>
  <cp:lastModifiedBy>王大可</cp:lastModifiedBy>
  <dcterms:modified xsi:type="dcterms:W3CDTF">2025-05-14T01:52:54Z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eyJoZGlkIjoiMjQ0ZjI2MGQ5NTEwMjRjNzkwYjVlNWJhZjZjYWMxODYiLCJ1c2VySWQiOiIyNzY3MzEwMjIifQ==</vt:lpwstr>
  </property>
  <property fmtid="{D5CDD505-2E9C-101B-9397-08002B2CF9AE}" pid="4" name="ICV">
    <vt:lpwstr>0E50BF8EDD494B9DA33388D9E884ADD8_12</vt:lpwstr>
  </property>
</Properties>
</file>